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4EF2" w14:textId="77777777" w:rsidR="002E4633" w:rsidRDefault="002E4633" w:rsidP="00C54231">
      <w:pPr>
        <w:spacing w:after="0" w:line="240" w:lineRule="auto"/>
        <w:rPr>
          <w:rFonts w:ascii="Calibri" w:eastAsia="Times New Roman" w:hAnsi="Calibri" w:cs="Calibri"/>
          <w:b/>
          <w:bCs/>
          <w:color w:val="333333"/>
          <w:kern w:val="36"/>
          <w:sz w:val="24"/>
          <w:szCs w:val="24"/>
        </w:rPr>
      </w:pPr>
      <w:r>
        <w:rPr>
          <w:rFonts w:ascii="Calibri" w:eastAsia="Times New Roman" w:hAnsi="Calibri" w:cs="Calibri"/>
          <w:b/>
          <w:bCs/>
          <w:color w:val="333333"/>
          <w:kern w:val="36"/>
          <w:sz w:val="24"/>
          <w:szCs w:val="24"/>
        </w:rPr>
        <w:t>FAQs</w:t>
      </w:r>
    </w:p>
    <w:p w14:paraId="62ADF7BD" w14:textId="77777777" w:rsidR="002E4633" w:rsidRDefault="002E4633" w:rsidP="00C54231">
      <w:pPr>
        <w:spacing w:after="0" w:line="240" w:lineRule="auto"/>
        <w:rPr>
          <w:rFonts w:ascii="Calibri" w:eastAsia="Times New Roman" w:hAnsi="Calibri" w:cs="Calibri"/>
          <w:b/>
          <w:bCs/>
          <w:color w:val="333333"/>
          <w:kern w:val="36"/>
          <w:sz w:val="24"/>
          <w:szCs w:val="24"/>
        </w:rPr>
      </w:pPr>
    </w:p>
    <w:p w14:paraId="17BF45DA" w14:textId="7039563B"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b/>
          <w:bCs/>
          <w:color w:val="000000"/>
          <w:sz w:val="24"/>
          <w:szCs w:val="24"/>
        </w:rPr>
        <w:t xml:space="preserve">What is CME? </w:t>
      </w:r>
    </w:p>
    <w:p w14:paraId="1FE76ABA" w14:textId="77777777" w:rsidR="00C54231" w:rsidRPr="00C54231" w:rsidRDefault="00C54231" w:rsidP="00C54231">
      <w:pPr>
        <w:spacing w:after="0" w:line="240" w:lineRule="auto"/>
        <w:rPr>
          <w:rFonts w:ascii="Calibri" w:eastAsia="Times New Roman" w:hAnsi="Calibri" w:cs="Calibri"/>
          <w:color w:val="000000"/>
          <w:sz w:val="24"/>
          <w:szCs w:val="24"/>
        </w:rPr>
      </w:pPr>
      <w:r w:rsidRPr="00C54231">
        <w:rPr>
          <w:rFonts w:ascii="Calibri" w:eastAsia="Times New Roman" w:hAnsi="Calibri" w:cs="Calibri"/>
          <w:color w:val="000000"/>
          <w:sz w:val="24"/>
          <w:szCs w:val="24"/>
        </w:rPr>
        <w:t>Continuing Medical Education (CME) is defined as “educational activities that serve to maintain, develop, or increase the knowledge, skills, and professional performance and relationships that a physician uses to provide services for patients, the public, or the profession” (source: ACCME and AMA).</w:t>
      </w:r>
    </w:p>
    <w:p w14:paraId="0BF633B2"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b/>
          <w:bCs/>
          <w:sz w:val="24"/>
          <w:szCs w:val="24"/>
        </w:rPr>
        <w:t> </w:t>
      </w:r>
    </w:p>
    <w:p w14:paraId="7F29EA22" w14:textId="77777777" w:rsidR="00C54231" w:rsidRPr="00C54231" w:rsidRDefault="00C54231" w:rsidP="00C54231">
      <w:pPr>
        <w:spacing w:after="0" w:line="240" w:lineRule="auto"/>
        <w:rPr>
          <w:rFonts w:ascii="Calibri" w:eastAsia="Times New Roman" w:hAnsi="Calibri" w:cs="Calibri"/>
          <w:sz w:val="24"/>
          <w:szCs w:val="24"/>
        </w:rPr>
      </w:pPr>
      <w:bookmarkStart w:id="0" w:name="ACCME"/>
      <w:bookmarkEnd w:id="0"/>
      <w:r w:rsidRPr="00C54231">
        <w:rPr>
          <w:rFonts w:ascii="Calibri" w:eastAsia="Times New Roman" w:hAnsi="Calibri" w:cs="Calibri"/>
          <w:b/>
          <w:bCs/>
          <w:color w:val="000000"/>
          <w:sz w:val="24"/>
          <w:szCs w:val="24"/>
        </w:rPr>
        <w:t>Who is the ACCME?</w:t>
      </w:r>
    </w:p>
    <w:p w14:paraId="06081C95" w14:textId="77777777" w:rsidR="00C54231" w:rsidRPr="00C54231" w:rsidRDefault="00C54231" w:rsidP="00C54231">
      <w:pPr>
        <w:spacing w:after="0" w:line="240" w:lineRule="auto"/>
        <w:rPr>
          <w:rFonts w:ascii="Calibri" w:eastAsia="Times New Roman" w:hAnsi="Calibri" w:cs="Calibri"/>
          <w:color w:val="000000"/>
          <w:sz w:val="24"/>
          <w:szCs w:val="24"/>
        </w:rPr>
      </w:pPr>
      <w:r w:rsidRPr="00C54231">
        <w:rPr>
          <w:rFonts w:ascii="Calibri" w:eastAsia="Times New Roman" w:hAnsi="Calibri" w:cs="Calibri"/>
          <w:color w:val="000000"/>
          <w:sz w:val="24"/>
          <w:szCs w:val="24"/>
        </w:rPr>
        <w:t>ACCME is the Accreditation Council for Continuing Medical Education and is the organization that sets the standards for the accreditation of all providers of CME activities.</w:t>
      </w:r>
    </w:p>
    <w:p w14:paraId="003D27EC"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 </w:t>
      </w:r>
    </w:p>
    <w:p w14:paraId="45312728" w14:textId="77777777" w:rsidR="00C54231" w:rsidRPr="00C54231" w:rsidRDefault="00C54231" w:rsidP="00C54231">
      <w:pPr>
        <w:spacing w:after="0" w:line="240" w:lineRule="auto"/>
        <w:rPr>
          <w:rFonts w:ascii="Calibri" w:eastAsia="Times New Roman" w:hAnsi="Calibri" w:cs="Calibri"/>
          <w:sz w:val="24"/>
          <w:szCs w:val="24"/>
        </w:rPr>
      </w:pPr>
      <w:bookmarkStart w:id="1" w:name="AMA"/>
      <w:bookmarkEnd w:id="1"/>
      <w:r w:rsidRPr="00C54231">
        <w:rPr>
          <w:rFonts w:ascii="Calibri" w:eastAsia="Times New Roman" w:hAnsi="Calibri" w:cs="Calibri"/>
          <w:b/>
          <w:bCs/>
          <w:color w:val="000000"/>
          <w:sz w:val="24"/>
          <w:szCs w:val="24"/>
        </w:rPr>
        <w:t>Who is the AMA?</w:t>
      </w:r>
    </w:p>
    <w:p w14:paraId="09B7F9A2"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 xml:space="preserve">The American Medical Association helps doctors help patients by uniting physicians nationwide to work on the most important professional and public health issues. </w:t>
      </w:r>
    </w:p>
    <w:p w14:paraId="71F08461"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 </w:t>
      </w:r>
    </w:p>
    <w:p w14:paraId="655876AE" w14:textId="77777777" w:rsidR="00C54231" w:rsidRPr="00C54231" w:rsidRDefault="00C54231" w:rsidP="00C54231">
      <w:pPr>
        <w:spacing w:after="0" w:line="240" w:lineRule="auto"/>
        <w:rPr>
          <w:rFonts w:ascii="Calibri" w:eastAsia="Times New Roman" w:hAnsi="Calibri" w:cs="Calibri"/>
          <w:sz w:val="24"/>
          <w:szCs w:val="24"/>
        </w:rPr>
      </w:pPr>
      <w:bookmarkStart w:id="2" w:name="CME/CECertification"/>
      <w:bookmarkStart w:id="3" w:name="PhysicianCredits"/>
      <w:bookmarkEnd w:id="2"/>
      <w:bookmarkEnd w:id="3"/>
      <w:r w:rsidRPr="00C54231">
        <w:rPr>
          <w:rFonts w:ascii="Calibri" w:eastAsia="Times New Roman" w:hAnsi="Calibri" w:cs="Calibri"/>
          <w:b/>
          <w:bCs/>
          <w:color w:val="000000"/>
          <w:sz w:val="24"/>
          <w:szCs w:val="24"/>
        </w:rPr>
        <w:t>What type of CME credit do physicians need?</w:t>
      </w:r>
    </w:p>
    <w:p w14:paraId="0DCDEA39"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i/>
          <w:iCs/>
          <w:color w:val="000000"/>
          <w:sz w:val="24"/>
          <w:szCs w:val="24"/>
        </w:rPr>
        <w:t xml:space="preserve">AMA PRA Category 1 Credit™ </w:t>
      </w:r>
      <w:r w:rsidRPr="00C54231">
        <w:rPr>
          <w:rFonts w:ascii="Calibri" w:eastAsia="Times New Roman" w:hAnsi="Calibri" w:cs="Calibri"/>
          <w:color w:val="000000"/>
          <w:sz w:val="24"/>
          <w:szCs w:val="24"/>
        </w:rPr>
        <w:t xml:space="preserve">is the most common type of credit physicians need for medical license maintenance. In order for an activity to be designated for </w:t>
      </w:r>
      <w:r w:rsidRPr="00C54231">
        <w:rPr>
          <w:rFonts w:ascii="Calibri" w:eastAsia="Times New Roman" w:hAnsi="Calibri" w:cs="Calibri"/>
          <w:i/>
          <w:iCs/>
          <w:color w:val="000000"/>
          <w:sz w:val="24"/>
          <w:szCs w:val="24"/>
        </w:rPr>
        <w:t>AMA PRA Category 1 Credit™</w:t>
      </w:r>
      <w:r w:rsidRPr="00C54231">
        <w:rPr>
          <w:rFonts w:ascii="Calibri" w:eastAsia="Times New Roman" w:hAnsi="Calibri" w:cs="Calibri"/>
          <w:color w:val="000000"/>
          <w:sz w:val="24"/>
          <w:szCs w:val="24"/>
        </w:rPr>
        <w:t xml:space="preserve">, it must be accredited by a CME provider (e.g., University of Massachusetts Chan Medical School, Office of Continuing Medical Education).  </w:t>
      </w:r>
    </w:p>
    <w:p w14:paraId="2F9F4D99"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 </w:t>
      </w:r>
    </w:p>
    <w:p w14:paraId="0D70A59A" w14:textId="77777777" w:rsidR="00C54231" w:rsidRPr="00C54231" w:rsidRDefault="00C54231" w:rsidP="00C54231">
      <w:pPr>
        <w:spacing w:after="0" w:line="240" w:lineRule="auto"/>
        <w:rPr>
          <w:rFonts w:ascii="Calibri" w:eastAsia="Times New Roman" w:hAnsi="Calibri" w:cs="Calibri"/>
          <w:sz w:val="24"/>
          <w:szCs w:val="24"/>
        </w:rPr>
      </w:pPr>
      <w:bookmarkStart w:id="4" w:name="CAt1&amp;2"/>
      <w:bookmarkEnd w:id="4"/>
      <w:r w:rsidRPr="00C54231">
        <w:rPr>
          <w:rFonts w:ascii="Calibri" w:eastAsia="Times New Roman" w:hAnsi="Calibri" w:cs="Calibri"/>
          <w:b/>
          <w:bCs/>
          <w:color w:val="000000"/>
          <w:sz w:val="24"/>
          <w:szCs w:val="24"/>
        </w:rPr>
        <w:t>What is the difference between Category 1 and Category 2 credit?</w:t>
      </w:r>
    </w:p>
    <w:p w14:paraId="358DAF35"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Category 1 CME activities are:</w:t>
      </w:r>
    </w:p>
    <w:p w14:paraId="178748D1" w14:textId="77777777" w:rsidR="00C54231" w:rsidRPr="00C54231" w:rsidRDefault="00C54231" w:rsidP="00C54231">
      <w:pPr>
        <w:numPr>
          <w:ilvl w:val="0"/>
          <w:numId w:val="4"/>
        </w:numPr>
        <w:spacing w:before="100" w:beforeAutospacing="1" w:after="10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Formally planned activities that include documentation of acceptable needs assessment, learning objectives, educational design, an evaluation method, and disclosure.</w:t>
      </w:r>
      <w:r w:rsidRPr="00C54231">
        <w:rPr>
          <w:rFonts w:ascii="Calibri" w:eastAsia="Times New Roman" w:hAnsi="Calibri" w:cs="Calibri"/>
          <w:sz w:val="24"/>
          <w:szCs w:val="24"/>
        </w:rPr>
        <w:t xml:space="preserve"> </w:t>
      </w:r>
    </w:p>
    <w:p w14:paraId="3C01351F" w14:textId="77777777" w:rsidR="00C54231" w:rsidRPr="00C54231" w:rsidRDefault="00C54231" w:rsidP="00C54231">
      <w:pPr>
        <w:numPr>
          <w:ilvl w:val="0"/>
          <w:numId w:val="4"/>
        </w:numPr>
        <w:spacing w:before="100" w:beforeAutospacing="1" w:after="10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Planned and implemented in full compliance with the ACCME Standards for Commercial Support</w:t>
      </w:r>
      <w:r w:rsidRPr="00C54231">
        <w:rPr>
          <w:rFonts w:ascii="Calibri" w:eastAsia="Times New Roman" w:hAnsi="Calibri" w:cs="Calibri"/>
          <w:sz w:val="24"/>
          <w:szCs w:val="24"/>
        </w:rPr>
        <w:t xml:space="preserve"> </w:t>
      </w:r>
    </w:p>
    <w:p w14:paraId="155FACC6" w14:textId="77777777" w:rsidR="00C54231" w:rsidRPr="00C54231" w:rsidRDefault="00C54231" w:rsidP="00C54231">
      <w:pPr>
        <w:numPr>
          <w:ilvl w:val="0"/>
          <w:numId w:val="4"/>
        </w:numPr>
        <w:spacing w:before="100" w:beforeAutospacing="1" w:after="10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Prospectively certified for credit by an ACCME-accredited CME Provider.</w:t>
      </w:r>
    </w:p>
    <w:p w14:paraId="1273D87D"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Category 2 "self claim" credits are:</w:t>
      </w:r>
    </w:p>
    <w:p w14:paraId="0144DB80" w14:textId="77777777" w:rsidR="00C54231" w:rsidRPr="00C54231" w:rsidRDefault="00C54231" w:rsidP="00C54231">
      <w:pPr>
        <w:numPr>
          <w:ilvl w:val="0"/>
          <w:numId w:val="5"/>
        </w:numPr>
        <w:spacing w:before="100" w:beforeAutospacing="1" w:after="10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Informally planned physician-initiated activities such as practice-based self-study, consultations with colleagues, teaching, M&amp;M conferences, journal clubs, etc.</w:t>
      </w:r>
      <w:r w:rsidRPr="00C54231">
        <w:rPr>
          <w:rFonts w:ascii="Calibri" w:eastAsia="Times New Roman" w:hAnsi="Calibri" w:cs="Calibri"/>
          <w:sz w:val="24"/>
          <w:szCs w:val="24"/>
        </w:rPr>
        <w:t xml:space="preserve"> </w:t>
      </w:r>
    </w:p>
    <w:p w14:paraId="49A577CB" w14:textId="77777777" w:rsidR="00C54231" w:rsidRPr="00C54231" w:rsidRDefault="00C54231" w:rsidP="00C54231">
      <w:pPr>
        <w:numPr>
          <w:ilvl w:val="0"/>
          <w:numId w:val="5"/>
        </w:numPr>
        <w:spacing w:before="100" w:beforeAutospacing="1" w:after="10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 xml:space="preserve">The UMass Medical School Office of CME is not involved with planning, certifying, or tracking Category 2 activities. </w:t>
      </w:r>
    </w:p>
    <w:p w14:paraId="6BF18CB9"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 </w:t>
      </w:r>
    </w:p>
    <w:p w14:paraId="2CB082AE" w14:textId="77777777" w:rsidR="00C54231" w:rsidRPr="00C54231" w:rsidRDefault="00C54231" w:rsidP="00C54231">
      <w:pPr>
        <w:spacing w:after="0" w:line="240" w:lineRule="auto"/>
        <w:rPr>
          <w:rFonts w:ascii="Calibri" w:eastAsia="Times New Roman" w:hAnsi="Calibri" w:cs="Calibri"/>
          <w:sz w:val="24"/>
          <w:szCs w:val="24"/>
        </w:rPr>
      </w:pPr>
      <w:bookmarkStart w:id="5" w:name="WhatIsCost"/>
      <w:bookmarkEnd w:id="5"/>
      <w:r w:rsidRPr="00C54231">
        <w:rPr>
          <w:rFonts w:ascii="Calibri" w:eastAsia="Times New Roman" w:hAnsi="Calibri" w:cs="Calibri"/>
          <w:b/>
          <w:bCs/>
          <w:color w:val="000000"/>
          <w:sz w:val="24"/>
          <w:szCs w:val="24"/>
        </w:rPr>
        <w:t xml:space="preserve">What is the cost of CME/CE certification? </w:t>
      </w:r>
    </w:p>
    <w:p w14:paraId="0A920F3A"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The cost of certifying your activity for CME/CE credit depends on:</w:t>
      </w:r>
    </w:p>
    <w:p w14:paraId="205ED886" w14:textId="77777777" w:rsidR="00C54231" w:rsidRPr="00C54231" w:rsidRDefault="00C54231" w:rsidP="00C54231">
      <w:pPr>
        <w:numPr>
          <w:ilvl w:val="0"/>
          <w:numId w:val="6"/>
        </w:numPr>
        <w:spacing w:before="100" w:beforeAutospacing="1" w:after="10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Type of activity (joint vs. directly providership, live vs. enduring, 1 hour vs. 5-day, etc).</w:t>
      </w:r>
      <w:r w:rsidRPr="00C54231">
        <w:rPr>
          <w:rFonts w:ascii="Calibri" w:eastAsia="Times New Roman" w:hAnsi="Calibri" w:cs="Calibri"/>
          <w:sz w:val="24"/>
          <w:szCs w:val="24"/>
        </w:rPr>
        <w:t xml:space="preserve"> </w:t>
      </w:r>
    </w:p>
    <w:p w14:paraId="71A545D9" w14:textId="77777777" w:rsidR="00C54231" w:rsidRPr="00C54231" w:rsidRDefault="00C54231" w:rsidP="00C54231">
      <w:pPr>
        <w:numPr>
          <w:ilvl w:val="0"/>
          <w:numId w:val="6"/>
        </w:numPr>
        <w:spacing w:before="100" w:beforeAutospacing="1" w:after="10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Number of credit hours</w:t>
      </w:r>
      <w:r w:rsidRPr="00C54231">
        <w:rPr>
          <w:rFonts w:ascii="Calibri" w:eastAsia="Times New Roman" w:hAnsi="Calibri" w:cs="Calibri"/>
          <w:sz w:val="24"/>
          <w:szCs w:val="24"/>
        </w:rPr>
        <w:t xml:space="preserve"> </w:t>
      </w:r>
    </w:p>
    <w:p w14:paraId="6C75865F" w14:textId="77777777" w:rsidR="00C54231" w:rsidRPr="00C54231" w:rsidRDefault="00C54231" w:rsidP="00C54231">
      <w:pPr>
        <w:numPr>
          <w:ilvl w:val="0"/>
          <w:numId w:val="6"/>
        </w:numPr>
        <w:spacing w:before="100" w:beforeAutospacing="1" w:after="10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lastRenderedPageBreak/>
        <w:t>Number of educational grants involved</w:t>
      </w:r>
      <w:r w:rsidRPr="00C54231">
        <w:rPr>
          <w:rFonts w:ascii="Calibri" w:eastAsia="Times New Roman" w:hAnsi="Calibri" w:cs="Calibri"/>
          <w:sz w:val="24"/>
          <w:szCs w:val="24"/>
        </w:rPr>
        <w:t xml:space="preserve"> </w:t>
      </w:r>
    </w:p>
    <w:p w14:paraId="73B0E41E" w14:textId="77777777" w:rsidR="00C54231" w:rsidRPr="00C54231" w:rsidRDefault="00C54231" w:rsidP="00C54231">
      <w:pPr>
        <w:numPr>
          <w:ilvl w:val="0"/>
          <w:numId w:val="6"/>
        </w:numPr>
        <w:spacing w:before="100" w:beforeAutospacing="1" w:after="10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Number of Faculty (speakers, authors, etc)</w:t>
      </w:r>
      <w:r w:rsidRPr="00C54231">
        <w:rPr>
          <w:rFonts w:ascii="Calibri" w:eastAsia="Times New Roman" w:hAnsi="Calibri" w:cs="Calibri"/>
          <w:sz w:val="24"/>
          <w:szCs w:val="24"/>
        </w:rPr>
        <w:t xml:space="preserve"> </w:t>
      </w:r>
    </w:p>
    <w:p w14:paraId="642C4B9B" w14:textId="77777777" w:rsidR="00C54231" w:rsidRPr="00C54231" w:rsidRDefault="00C54231" w:rsidP="00C54231">
      <w:pPr>
        <w:numPr>
          <w:ilvl w:val="0"/>
          <w:numId w:val="6"/>
        </w:numPr>
        <w:spacing w:before="100" w:beforeAutospacing="1" w:after="0" w:afterAutospacing="1"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Estimated number of participants/learners</w:t>
      </w:r>
    </w:p>
    <w:p w14:paraId="125D6B21" w14:textId="77777777" w:rsidR="00C54231" w:rsidRPr="00C54231" w:rsidRDefault="00C54231" w:rsidP="00C54231">
      <w:pPr>
        <w:spacing w:before="100" w:beforeAutospacing="1" w:after="100" w:afterAutospacing="1" w:line="240" w:lineRule="auto"/>
        <w:ind w:left="-242"/>
        <w:rPr>
          <w:rFonts w:ascii="Calibri" w:eastAsia="Times New Roman" w:hAnsi="Calibri" w:cs="Calibri"/>
          <w:sz w:val="24"/>
          <w:szCs w:val="24"/>
        </w:rPr>
      </w:pPr>
      <w:r w:rsidRPr="00C54231">
        <w:rPr>
          <w:rFonts w:ascii="Calibri" w:eastAsia="Times New Roman" w:hAnsi="Calibri" w:cs="Calibri"/>
          <w:color w:val="000000"/>
          <w:sz w:val="24"/>
          <w:szCs w:val="24"/>
        </w:rPr>
        <w:br/>
        <w:t> </w:t>
      </w:r>
      <w:bookmarkStart w:id="6" w:name="ObtainCME/CE"/>
      <w:bookmarkEnd w:id="6"/>
      <w:r w:rsidRPr="00C54231">
        <w:rPr>
          <w:rFonts w:ascii="Calibri" w:eastAsia="Times New Roman" w:hAnsi="Calibri" w:cs="Calibri"/>
          <w:b/>
          <w:bCs/>
          <w:color w:val="000000"/>
          <w:sz w:val="24"/>
          <w:szCs w:val="24"/>
        </w:rPr>
        <w:t xml:space="preserve">How do I obtain CME/CE credit for my activity? </w:t>
      </w:r>
    </w:p>
    <w:p w14:paraId="24E38118"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 xml:space="preserve">Contact the UMass Medical School Office of CME at </w:t>
      </w:r>
      <w:hyperlink r:id="rId5" w:history="1">
        <w:r w:rsidRPr="00C54231">
          <w:rPr>
            <w:rFonts w:ascii="Calibri" w:eastAsia="Times New Roman" w:hAnsi="Calibri" w:cs="Calibri"/>
            <w:color w:val="003366"/>
            <w:sz w:val="24"/>
            <w:szCs w:val="24"/>
            <w:u w:val="single"/>
          </w:rPr>
          <w:t>continuing.education@umassmed.edu</w:t>
        </w:r>
      </w:hyperlink>
      <w:r w:rsidRPr="00C54231">
        <w:rPr>
          <w:rFonts w:ascii="Calibri" w:eastAsia="Times New Roman" w:hAnsi="Calibri" w:cs="Calibri"/>
          <w:color w:val="000000"/>
          <w:sz w:val="24"/>
          <w:szCs w:val="24"/>
        </w:rPr>
        <w:t xml:space="preserve"> to discuss your activity. </w:t>
      </w:r>
    </w:p>
    <w:p w14:paraId="46DC40B9"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 </w:t>
      </w:r>
    </w:p>
    <w:p w14:paraId="0AABCC3B" w14:textId="77777777" w:rsidR="00C54231" w:rsidRPr="00C54231" w:rsidRDefault="00C54231" w:rsidP="00C54231">
      <w:pPr>
        <w:spacing w:after="0" w:line="240" w:lineRule="auto"/>
        <w:rPr>
          <w:rFonts w:ascii="Calibri" w:eastAsia="Times New Roman" w:hAnsi="Calibri" w:cs="Calibri"/>
          <w:sz w:val="24"/>
          <w:szCs w:val="24"/>
        </w:rPr>
      </w:pPr>
      <w:bookmarkStart w:id="7" w:name="Sponsorship"/>
      <w:bookmarkEnd w:id="7"/>
      <w:r w:rsidRPr="00C54231">
        <w:rPr>
          <w:rFonts w:ascii="Calibri" w:eastAsia="Times New Roman" w:hAnsi="Calibri" w:cs="Calibri"/>
          <w:b/>
          <w:bCs/>
          <w:color w:val="000000"/>
          <w:sz w:val="24"/>
          <w:szCs w:val="24"/>
        </w:rPr>
        <w:t>What is the difference between direct, joint, and co-providership?</w:t>
      </w:r>
    </w:p>
    <w:p w14:paraId="7BC6B0CC" w14:textId="300BEB7B"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u w:val="single"/>
        </w:rPr>
        <w:t>Direct Providership</w:t>
      </w:r>
      <w:r w:rsidRPr="00C54231">
        <w:rPr>
          <w:rFonts w:ascii="Calibri" w:eastAsia="Times New Roman" w:hAnsi="Calibri" w:cs="Calibri"/>
          <w:color w:val="000000"/>
          <w:sz w:val="24"/>
          <w:szCs w:val="24"/>
        </w:rPr>
        <w:t>:</w:t>
      </w:r>
      <w:r w:rsidRPr="00C54231">
        <w:rPr>
          <w:rFonts w:ascii="Calibri" w:eastAsia="Times New Roman" w:hAnsi="Calibri" w:cs="Calibri"/>
          <w:b/>
          <w:bCs/>
          <w:color w:val="000000"/>
          <w:sz w:val="24"/>
          <w:szCs w:val="24"/>
        </w:rPr>
        <w:t> </w:t>
      </w:r>
      <w:r w:rsidRPr="00C54231">
        <w:rPr>
          <w:rFonts w:ascii="Calibri" w:eastAsia="Times New Roman" w:hAnsi="Calibri" w:cs="Calibri"/>
          <w:color w:val="000000"/>
          <w:sz w:val="24"/>
          <w:szCs w:val="24"/>
        </w:rPr>
        <w:t xml:space="preserve">A CME activity that is planned by departments of UMass </w:t>
      </w:r>
      <w:r w:rsidR="00EE0465">
        <w:rPr>
          <w:rFonts w:ascii="Calibri" w:eastAsia="Times New Roman" w:hAnsi="Calibri" w:cs="Calibri"/>
          <w:color w:val="000000"/>
          <w:sz w:val="24"/>
          <w:szCs w:val="24"/>
        </w:rPr>
        <w:t xml:space="preserve">Chan </w:t>
      </w:r>
      <w:r w:rsidRPr="00C54231">
        <w:rPr>
          <w:rFonts w:ascii="Calibri" w:eastAsia="Times New Roman" w:hAnsi="Calibri" w:cs="Calibri"/>
          <w:color w:val="000000"/>
          <w:sz w:val="24"/>
          <w:szCs w:val="24"/>
        </w:rPr>
        <w:t xml:space="preserve">Medical School and its affiliates of UMass Memorial Medical Center </w:t>
      </w:r>
    </w:p>
    <w:p w14:paraId="10797940"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rPr>
        <w:t> </w:t>
      </w:r>
    </w:p>
    <w:p w14:paraId="4B4B2AC9" w14:textId="77777777" w:rsidR="00C54231" w:rsidRPr="00C54231" w:rsidRDefault="00C54231" w:rsidP="00C54231">
      <w:pPr>
        <w:spacing w:after="0" w:line="240" w:lineRule="auto"/>
        <w:rPr>
          <w:rFonts w:ascii="Calibri" w:eastAsia="Times New Roman" w:hAnsi="Calibri" w:cs="Calibri"/>
          <w:sz w:val="24"/>
          <w:szCs w:val="24"/>
        </w:rPr>
      </w:pPr>
      <w:r w:rsidRPr="00C54231">
        <w:rPr>
          <w:rFonts w:ascii="Calibri" w:eastAsia="Times New Roman" w:hAnsi="Calibri" w:cs="Calibri"/>
          <w:color w:val="000000"/>
          <w:sz w:val="24"/>
          <w:szCs w:val="24"/>
          <w:u w:val="single"/>
        </w:rPr>
        <w:t>Joint Providership</w:t>
      </w:r>
      <w:r w:rsidRPr="00C54231">
        <w:rPr>
          <w:rFonts w:ascii="Calibri" w:eastAsia="Times New Roman" w:hAnsi="Calibri" w:cs="Calibri"/>
          <w:color w:val="000000"/>
          <w:sz w:val="24"/>
          <w:szCs w:val="24"/>
        </w:rPr>
        <w:t>: A CME activity that is developed and implemented by an institution or organization. The accredited provider (e.g., UMass Chan Medical School) must take responsibility for a CME activity when it is presented in cooperation with a non-accredited institution or organization. A commercial interest cannot take the role of non-accredited entity in a joint providership relationship (Source: ACCME).</w:t>
      </w:r>
    </w:p>
    <w:p w14:paraId="4B7D88A8" w14:textId="77777777" w:rsidR="00C54231" w:rsidRPr="00C54231" w:rsidRDefault="00C54231" w:rsidP="00C54231">
      <w:pPr>
        <w:spacing w:after="0" w:line="240" w:lineRule="auto"/>
        <w:rPr>
          <w:rFonts w:ascii="Calibri" w:eastAsia="Times New Roman" w:hAnsi="Calibri" w:cs="Calibri"/>
          <w:sz w:val="24"/>
          <w:szCs w:val="24"/>
        </w:rPr>
      </w:pPr>
    </w:p>
    <w:p w14:paraId="08963CF0" w14:textId="1DB5334B" w:rsidR="002B67A4" w:rsidRPr="00C54231" w:rsidRDefault="002B67A4" w:rsidP="00C54231">
      <w:pPr>
        <w:spacing w:after="0" w:line="240" w:lineRule="auto"/>
        <w:rPr>
          <w:rFonts w:ascii="Calibri" w:eastAsia="Times New Roman" w:hAnsi="Calibri" w:cs="Calibri"/>
          <w:sz w:val="24"/>
          <w:szCs w:val="24"/>
        </w:rPr>
      </w:pPr>
      <w:r w:rsidRPr="00C54231">
        <w:rPr>
          <w:rFonts w:ascii="Calibri" w:eastAsia="Times New Roman" w:hAnsi="Calibri" w:cs="Calibri"/>
          <w:b/>
          <w:bCs/>
          <w:color w:val="333333"/>
          <w:sz w:val="24"/>
          <w:szCs w:val="24"/>
        </w:rPr>
        <w:t>Who may serve as Course Directors?</w:t>
      </w:r>
    </w:p>
    <w:p w14:paraId="06AC71F2" w14:textId="280B8BE5" w:rsidR="002B67A4" w:rsidRDefault="008C315C" w:rsidP="002B67A4">
      <w:pPr>
        <w:numPr>
          <w:ilvl w:val="0"/>
          <w:numId w:val="1"/>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 xml:space="preserve">A </w:t>
      </w:r>
      <w:r w:rsidR="002B67A4" w:rsidRPr="00C54231">
        <w:rPr>
          <w:rFonts w:ascii="Calibri" w:eastAsia="Times New Roman" w:hAnsi="Calibri" w:cs="Calibri"/>
          <w:color w:val="333333"/>
          <w:sz w:val="24"/>
          <w:szCs w:val="24"/>
        </w:rPr>
        <w:t xml:space="preserve">physician faculty member employed by the </w:t>
      </w:r>
      <w:r w:rsidRPr="00C54231">
        <w:rPr>
          <w:rFonts w:ascii="Calibri" w:eastAsia="Times New Roman" w:hAnsi="Calibri" w:cs="Calibri"/>
          <w:color w:val="333333"/>
          <w:sz w:val="24"/>
          <w:szCs w:val="24"/>
        </w:rPr>
        <w:t>UMass Chan Medical School</w:t>
      </w:r>
      <w:r w:rsidR="002B67A4" w:rsidRPr="00C54231">
        <w:rPr>
          <w:rFonts w:ascii="Calibri" w:eastAsia="Times New Roman" w:hAnsi="Calibri" w:cs="Calibri"/>
          <w:color w:val="333333"/>
          <w:sz w:val="24"/>
          <w:szCs w:val="24"/>
        </w:rPr>
        <w:t xml:space="preserve"> for at least 50% of the time should be part of the planning team.  Non physician faculty members may be considered for leadership positions based on compelling need; this requires prior approval by the Associate Dean for </w:t>
      </w:r>
      <w:r w:rsidRPr="00C54231">
        <w:rPr>
          <w:rFonts w:ascii="Calibri" w:eastAsia="Times New Roman" w:hAnsi="Calibri" w:cs="Calibri"/>
          <w:color w:val="333333"/>
          <w:sz w:val="24"/>
          <w:szCs w:val="24"/>
        </w:rPr>
        <w:t xml:space="preserve">Continuing </w:t>
      </w:r>
      <w:r w:rsidR="002B67A4" w:rsidRPr="00C54231">
        <w:rPr>
          <w:rFonts w:ascii="Calibri" w:eastAsia="Times New Roman" w:hAnsi="Calibri" w:cs="Calibri"/>
          <w:color w:val="333333"/>
          <w:sz w:val="24"/>
          <w:szCs w:val="24"/>
        </w:rPr>
        <w:t xml:space="preserve">Medical Education or the Director of the </w:t>
      </w:r>
      <w:r w:rsidRPr="00C54231">
        <w:rPr>
          <w:rFonts w:ascii="Calibri" w:eastAsia="Times New Roman" w:hAnsi="Calibri" w:cs="Calibri"/>
          <w:color w:val="333333"/>
          <w:sz w:val="24"/>
          <w:szCs w:val="24"/>
        </w:rPr>
        <w:t>UMass Chan Medical School Office of Continuing Medical Education</w:t>
      </w:r>
      <w:r w:rsidR="002B67A4" w:rsidRPr="00C54231">
        <w:rPr>
          <w:rFonts w:ascii="Calibri" w:eastAsia="Times New Roman" w:hAnsi="Calibri" w:cs="Calibri"/>
          <w:color w:val="333333"/>
          <w:sz w:val="24"/>
          <w:szCs w:val="24"/>
        </w:rPr>
        <w:t xml:space="preserve">. Community practitioners with voluntary clinical appointments, non-physicians and community health partners may participate as a course co-director in concert with a </w:t>
      </w:r>
      <w:r w:rsidRPr="00C54231">
        <w:rPr>
          <w:rFonts w:ascii="Calibri" w:eastAsia="Times New Roman" w:hAnsi="Calibri" w:cs="Calibri"/>
          <w:color w:val="333333"/>
          <w:sz w:val="24"/>
          <w:szCs w:val="24"/>
        </w:rPr>
        <w:t>UMass Chan Medical School</w:t>
      </w:r>
      <w:r w:rsidR="002B67A4" w:rsidRPr="00C54231">
        <w:rPr>
          <w:rFonts w:ascii="Calibri" w:eastAsia="Times New Roman" w:hAnsi="Calibri" w:cs="Calibri"/>
          <w:color w:val="333333"/>
          <w:sz w:val="24"/>
          <w:szCs w:val="24"/>
        </w:rPr>
        <w:t xml:space="preserve"> physician faculty member.</w:t>
      </w:r>
    </w:p>
    <w:p w14:paraId="5E02A156" w14:textId="3441FEBC" w:rsidR="002E4633" w:rsidRPr="002E4633" w:rsidRDefault="002E4633" w:rsidP="002E4633">
      <w:pPr>
        <w:shd w:val="clear" w:color="auto" w:fill="FFFFFF"/>
        <w:spacing w:before="100" w:beforeAutospacing="1" w:after="100" w:afterAutospacing="1" w:line="240" w:lineRule="auto"/>
        <w:rPr>
          <w:rFonts w:ascii="Calibri" w:eastAsia="Times New Roman" w:hAnsi="Calibri" w:cs="Calibri"/>
          <w:b/>
          <w:bCs/>
          <w:color w:val="333333"/>
          <w:sz w:val="24"/>
          <w:szCs w:val="24"/>
        </w:rPr>
      </w:pPr>
      <w:r>
        <w:rPr>
          <w:rFonts w:ascii="Calibri" w:eastAsia="Times New Roman" w:hAnsi="Calibri" w:cs="Calibri"/>
          <w:b/>
          <w:bCs/>
          <w:color w:val="333333"/>
          <w:sz w:val="24"/>
          <w:szCs w:val="24"/>
        </w:rPr>
        <w:t xml:space="preserve">What is the first step in creating a course? </w:t>
      </w:r>
    </w:p>
    <w:p w14:paraId="1E5B2B3E" w14:textId="4705F37D" w:rsidR="002B67A4" w:rsidRDefault="002B67A4" w:rsidP="002B67A4">
      <w:pPr>
        <w:shd w:val="clear" w:color="auto" w:fill="FFFFFF"/>
        <w:spacing w:after="0"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 xml:space="preserve">Contact </w:t>
      </w:r>
      <w:r w:rsidR="008C315C" w:rsidRPr="00C54231">
        <w:rPr>
          <w:rFonts w:ascii="Calibri" w:eastAsia="Times New Roman" w:hAnsi="Calibri" w:cs="Calibri"/>
          <w:color w:val="333333"/>
          <w:sz w:val="24"/>
          <w:szCs w:val="24"/>
        </w:rPr>
        <w:t xml:space="preserve">the UMass Chan Medical School Office of </w:t>
      </w:r>
      <w:r w:rsidRPr="00C54231">
        <w:rPr>
          <w:rFonts w:ascii="Calibri" w:eastAsia="Times New Roman" w:hAnsi="Calibri" w:cs="Calibri"/>
          <w:color w:val="333333"/>
          <w:sz w:val="24"/>
          <w:szCs w:val="24"/>
        </w:rPr>
        <w:t>Continuing Medical Education (</w:t>
      </w:r>
      <w:r w:rsidR="008C315C" w:rsidRPr="00C54231">
        <w:rPr>
          <w:rFonts w:ascii="Calibri" w:eastAsia="Times New Roman" w:hAnsi="Calibri" w:cs="Calibri"/>
          <w:color w:val="333333"/>
          <w:sz w:val="24"/>
          <w:szCs w:val="24"/>
        </w:rPr>
        <w:t>O</w:t>
      </w:r>
      <w:r w:rsidRPr="00C54231">
        <w:rPr>
          <w:rFonts w:ascii="Calibri" w:eastAsia="Times New Roman" w:hAnsi="Calibri" w:cs="Calibri"/>
          <w:color w:val="333333"/>
          <w:sz w:val="24"/>
          <w:szCs w:val="24"/>
        </w:rPr>
        <w:t>CME) in advance of the proposed activity to ensure the necessary time to discuss the conference concept and its planning and promotion by email at </w:t>
      </w:r>
      <w:hyperlink r:id="rId6" w:history="1">
        <w:r w:rsidR="008C315C" w:rsidRPr="00C54231">
          <w:rPr>
            <w:rStyle w:val="Hyperlink"/>
            <w:rFonts w:ascii="Calibri" w:eastAsia="Times New Roman" w:hAnsi="Calibri" w:cs="Calibri"/>
            <w:sz w:val="24"/>
            <w:szCs w:val="24"/>
          </w:rPr>
          <w:t>continuing.education@umassmed.edu</w:t>
        </w:r>
      </w:hyperlink>
      <w:r w:rsidR="008C315C" w:rsidRPr="00C54231">
        <w:rPr>
          <w:rFonts w:ascii="Calibri" w:eastAsia="Times New Roman" w:hAnsi="Calibri" w:cs="Calibri"/>
          <w:color w:val="333333"/>
          <w:sz w:val="24"/>
          <w:szCs w:val="24"/>
        </w:rPr>
        <w:t xml:space="preserve">. </w:t>
      </w:r>
      <w:r w:rsidRPr="00C54231">
        <w:rPr>
          <w:rFonts w:ascii="Calibri" w:eastAsia="Times New Roman" w:hAnsi="Calibri" w:cs="Calibri"/>
          <w:color w:val="333333"/>
          <w:sz w:val="24"/>
          <w:szCs w:val="24"/>
        </w:rPr>
        <w:t> </w:t>
      </w:r>
    </w:p>
    <w:p w14:paraId="4A5AD67B" w14:textId="19E2FEE2" w:rsidR="002E4633" w:rsidRDefault="002E4633" w:rsidP="002B67A4">
      <w:pPr>
        <w:shd w:val="clear" w:color="auto" w:fill="FFFFFF"/>
        <w:spacing w:after="0" w:line="240" w:lineRule="auto"/>
        <w:rPr>
          <w:rFonts w:ascii="Calibri" w:eastAsia="Times New Roman" w:hAnsi="Calibri" w:cs="Calibri"/>
          <w:color w:val="333333"/>
          <w:sz w:val="24"/>
          <w:szCs w:val="24"/>
        </w:rPr>
      </w:pPr>
    </w:p>
    <w:p w14:paraId="3458E18B" w14:textId="6B196B7B" w:rsidR="002E4633" w:rsidRPr="002E4633" w:rsidRDefault="002E4633" w:rsidP="002B67A4">
      <w:pPr>
        <w:shd w:val="clear" w:color="auto" w:fill="FFFFFF"/>
        <w:spacing w:after="0" w:line="240" w:lineRule="auto"/>
        <w:rPr>
          <w:rFonts w:ascii="Calibri" w:eastAsia="Times New Roman" w:hAnsi="Calibri" w:cs="Calibri"/>
          <w:b/>
          <w:bCs/>
          <w:color w:val="333333"/>
          <w:sz w:val="24"/>
          <w:szCs w:val="24"/>
        </w:rPr>
      </w:pPr>
      <w:r w:rsidRPr="002E4633">
        <w:rPr>
          <w:rFonts w:ascii="Calibri" w:eastAsia="Times New Roman" w:hAnsi="Calibri" w:cs="Calibri"/>
          <w:b/>
          <w:bCs/>
          <w:color w:val="333333"/>
          <w:sz w:val="24"/>
          <w:szCs w:val="24"/>
        </w:rPr>
        <w:t xml:space="preserve">What is a Conflict of Interest? </w:t>
      </w:r>
    </w:p>
    <w:p w14:paraId="6F8A953D" w14:textId="3D2F52A3" w:rsidR="002B67A4" w:rsidRPr="00C54231" w:rsidRDefault="002B67A4" w:rsidP="002B67A4">
      <w:pPr>
        <w:shd w:val="clear" w:color="auto" w:fill="FFFFFF"/>
        <w:spacing w:before="100" w:beforeAutospacing="1" w:after="100" w:afterAutospacing="1"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Conflict of Interest (COI): In continuing medical education (CME), circumstances create a conflict of interest when an individual has an opportunity to affect CME content about products or services of a commercial interest (see definition below) with which he/she</w:t>
      </w:r>
      <w:r w:rsidR="008C315C" w:rsidRPr="00C54231">
        <w:rPr>
          <w:rFonts w:ascii="Calibri" w:eastAsia="Times New Roman" w:hAnsi="Calibri" w:cs="Calibri"/>
          <w:color w:val="333333"/>
          <w:sz w:val="24"/>
          <w:szCs w:val="24"/>
        </w:rPr>
        <w:t xml:space="preserve"> </w:t>
      </w:r>
      <w:r w:rsidRPr="00C54231">
        <w:rPr>
          <w:rFonts w:ascii="Calibri" w:eastAsia="Times New Roman" w:hAnsi="Calibri" w:cs="Calibri"/>
          <w:color w:val="333333"/>
          <w:sz w:val="24"/>
          <w:szCs w:val="24"/>
        </w:rPr>
        <w:t>has a financial relationship.</w:t>
      </w:r>
    </w:p>
    <w:p w14:paraId="328C3148" w14:textId="77777777" w:rsidR="002B67A4" w:rsidRPr="00C54231" w:rsidRDefault="002B67A4" w:rsidP="002B67A4">
      <w:pPr>
        <w:shd w:val="clear" w:color="auto" w:fill="FFFFFF"/>
        <w:spacing w:before="100" w:beforeAutospacing="1" w:after="100" w:afterAutospacing="1"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lastRenderedPageBreak/>
        <w:t>The </w:t>
      </w:r>
      <w:hyperlink r:id="rId7" w:tgtFrame="_blank" w:history="1">
        <w:r w:rsidRPr="00C54231">
          <w:rPr>
            <w:rFonts w:ascii="Calibri" w:eastAsia="Times New Roman" w:hAnsi="Calibri" w:cs="Calibri"/>
            <w:color w:val="007C92"/>
            <w:sz w:val="24"/>
            <w:szCs w:val="24"/>
            <w:u w:val="single"/>
          </w:rPr>
          <w:t>ACCME</w:t>
        </w:r>
      </w:hyperlink>
      <w:r w:rsidRPr="00C54231">
        <w:rPr>
          <w:rFonts w:ascii="Calibri" w:eastAsia="Times New Roman" w:hAnsi="Calibri" w:cs="Calibri"/>
          <w:color w:val="333333"/>
          <w:sz w:val="24"/>
          <w:szCs w:val="24"/>
        </w:rPr>
        <w:t> considers financial relationships to create actual conflicts of interest in CME when individuals have both a financial relationship (in any amount) with a commercial interest and the opportunity to affect the content of CME about the products or services of that commercial interest.</w:t>
      </w:r>
    </w:p>
    <w:p w14:paraId="474B7531" w14:textId="493D456B" w:rsidR="002B67A4" w:rsidRDefault="002B67A4" w:rsidP="002B67A4">
      <w:pPr>
        <w:shd w:val="clear" w:color="auto" w:fill="FFFFFF"/>
        <w:spacing w:after="0"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 xml:space="preserve">COIs are identified by reviewing disclosed financial relationships on the </w:t>
      </w:r>
      <w:r w:rsidR="008C315C" w:rsidRPr="00C54231">
        <w:rPr>
          <w:rFonts w:ascii="Calibri" w:eastAsia="Times New Roman" w:hAnsi="Calibri" w:cs="Calibri"/>
          <w:color w:val="333333"/>
          <w:sz w:val="24"/>
          <w:szCs w:val="24"/>
        </w:rPr>
        <w:t>Conflict of Interest O</w:t>
      </w:r>
      <w:r w:rsidRPr="00C54231">
        <w:rPr>
          <w:rFonts w:ascii="Calibri" w:eastAsia="Times New Roman" w:hAnsi="Calibri" w:cs="Calibri"/>
          <w:color w:val="333333"/>
          <w:sz w:val="24"/>
          <w:szCs w:val="24"/>
        </w:rPr>
        <w:t xml:space="preserve">CME Disclosure form to determine if they are related to the content of the proposed CME activity. </w:t>
      </w:r>
      <w:r w:rsidR="008C315C" w:rsidRPr="00C54231">
        <w:rPr>
          <w:rFonts w:ascii="Calibri" w:eastAsia="Times New Roman" w:hAnsi="Calibri" w:cs="Calibri"/>
          <w:color w:val="333333"/>
          <w:sz w:val="24"/>
          <w:szCs w:val="24"/>
        </w:rPr>
        <w:t>O</w:t>
      </w:r>
      <w:r w:rsidRPr="00C54231">
        <w:rPr>
          <w:rFonts w:ascii="Calibri" w:eastAsia="Times New Roman" w:hAnsi="Calibri" w:cs="Calibri"/>
          <w:color w:val="333333"/>
          <w:sz w:val="24"/>
          <w:szCs w:val="24"/>
        </w:rPr>
        <w:t xml:space="preserve">CME has mechanisms in place to manage and resolve all conflicts of interest for individuals involved in the planning and implementation of certified CME activities. A </w:t>
      </w:r>
      <w:r w:rsidR="008C315C" w:rsidRPr="00C54231">
        <w:rPr>
          <w:rFonts w:ascii="Calibri" w:eastAsia="Times New Roman" w:hAnsi="Calibri" w:cs="Calibri"/>
          <w:color w:val="333333"/>
          <w:sz w:val="24"/>
          <w:szCs w:val="24"/>
        </w:rPr>
        <w:t>O</w:t>
      </w:r>
      <w:r w:rsidRPr="00C54231">
        <w:rPr>
          <w:rFonts w:ascii="Calibri" w:eastAsia="Times New Roman" w:hAnsi="Calibri" w:cs="Calibri"/>
          <w:color w:val="333333"/>
          <w:sz w:val="24"/>
          <w:szCs w:val="24"/>
        </w:rPr>
        <w:t xml:space="preserve">CME Coordinator (and as needed other </w:t>
      </w:r>
      <w:r w:rsidR="008C315C" w:rsidRPr="00C54231">
        <w:rPr>
          <w:rFonts w:ascii="Calibri" w:eastAsia="Times New Roman" w:hAnsi="Calibri" w:cs="Calibri"/>
          <w:color w:val="333333"/>
          <w:sz w:val="24"/>
          <w:szCs w:val="24"/>
        </w:rPr>
        <w:t>O</w:t>
      </w:r>
      <w:r w:rsidRPr="00C54231">
        <w:rPr>
          <w:rFonts w:ascii="Calibri" w:eastAsia="Times New Roman" w:hAnsi="Calibri" w:cs="Calibri"/>
          <w:color w:val="333333"/>
          <w:sz w:val="24"/>
          <w:szCs w:val="24"/>
        </w:rPr>
        <w:t>CME staff) will work with the Course Director to ensure any conflicts of interest are identified and resolve them </w:t>
      </w:r>
      <w:r w:rsidRPr="00C54231">
        <w:rPr>
          <w:rFonts w:ascii="Calibri" w:eastAsia="Times New Roman" w:hAnsi="Calibri" w:cs="Calibri"/>
          <w:b/>
          <w:bCs/>
          <w:color w:val="333333"/>
          <w:sz w:val="24"/>
          <w:szCs w:val="24"/>
          <w:u w:val="single"/>
        </w:rPr>
        <w:t>before</w:t>
      </w:r>
      <w:r w:rsidRPr="00C54231">
        <w:rPr>
          <w:rFonts w:ascii="Calibri" w:eastAsia="Times New Roman" w:hAnsi="Calibri" w:cs="Calibri"/>
          <w:color w:val="333333"/>
          <w:sz w:val="24"/>
          <w:szCs w:val="24"/>
        </w:rPr>
        <w:t> the CME activity occurs.</w:t>
      </w:r>
    </w:p>
    <w:p w14:paraId="4E9CFDE6" w14:textId="77C54D33" w:rsidR="002E4633" w:rsidRDefault="002E4633" w:rsidP="002B67A4">
      <w:pPr>
        <w:shd w:val="clear" w:color="auto" w:fill="FFFFFF"/>
        <w:spacing w:after="0" w:line="240" w:lineRule="auto"/>
        <w:rPr>
          <w:rFonts w:ascii="Calibri" w:eastAsia="Times New Roman" w:hAnsi="Calibri" w:cs="Calibri"/>
          <w:color w:val="333333"/>
          <w:sz w:val="24"/>
          <w:szCs w:val="24"/>
        </w:rPr>
      </w:pPr>
    </w:p>
    <w:p w14:paraId="672F85E7" w14:textId="62D63834" w:rsidR="002E4633" w:rsidRDefault="002E4633" w:rsidP="002B67A4">
      <w:pPr>
        <w:shd w:val="clear" w:color="auto" w:fill="FFFFFF"/>
        <w:spacing w:after="0" w:line="240" w:lineRule="auto"/>
        <w:rPr>
          <w:rFonts w:ascii="Calibri" w:eastAsia="Times New Roman" w:hAnsi="Calibri" w:cs="Calibri"/>
          <w:b/>
          <w:bCs/>
          <w:color w:val="333333"/>
          <w:sz w:val="24"/>
          <w:szCs w:val="24"/>
        </w:rPr>
      </w:pPr>
      <w:r>
        <w:rPr>
          <w:rFonts w:ascii="Calibri" w:eastAsia="Times New Roman" w:hAnsi="Calibri" w:cs="Calibri"/>
          <w:b/>
          <w:bCs/>
          <w:color w:val="333333"/>
          <w:sz w:val="24"/>
          <w:szCs w:val="24"/>
        </w:rPr>
        <w:t>What is a Commercial Interest?</w:t>
      </w:r>
    </w:p>
    <w:p w14:paraId="4F370EC9" w14:textId="77777777" w:rsidR="002E4633" w:rsidRPr="002E4633" w:rsidRDefault="002E4633" w:rsidP="002B67A4">
      <w:pPr>
        <w:shd w:val="clear" w:color="auto" w:fill="FFFFFF"/>
        <w:spacing w:after="0" w:line="240" w:lineRule="auto"/>
        <w:rPr>
          <w:rFonts w:ascii="Calibri" w:eastAsia="Times New Roman" w:hAnsi="Calibri" w:cs="Calibri"/>
          <w:b/>
          <w:bCs/>
          <w:color w:val="333333"/>
          <w:sz w:val="24"/>
          <w:szCs w:val="24"/>
        </w:rPr>
      </w:pPr>
    </w:p>
    <w:p w14:paraId="6B24B1F7" w14:textId="7D2D5B91" w:rsidR="002B67A4" w:rsidRDefault="002B67A4" w:rsidP="002B67A4">
      <w:pPr>
        <w:shd w:val="clear" w:color="auto" w:fill="FFFFFF"/>
        <w:spacing w:after="0"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Commercial Interest:  Any entity producing, marketing, re-selling, or distributing health care goods or services consumed by, or used on, patients with the exemption of non‐profit or government organizations and non‐health care related companies. The </w:t>
      </w:r>
      <w:hyperlink r:id="rId8" w:history="1">
        <w:r w:rsidRPr="00C54231">
          <w:rPr>
            <w:rFonts w:ascii="Calibri" w:eastAsia="Times New Roman" w:hAnsi="Calibri" w:cs="Calibri"/>
            <w:color w:val="007C92"/>
            <w:sz w:val="24"/>
            <w:szCs w:val="24"/>
            <w:u w:val="single"/>
          </w:rPr>
          <w:t>ACCME</w:t>
        </w:r>
      </w:hyperlink>
      <w:r w:rsidRPr="00C54231">
        <w:rPr>
          <w:rFonts w:ascii="Calibri" w:eastAsia="Times New Roman" w:hAnsi="Calibri" w:cs="Calibri"/>
          <w:color w:val="333333"/>
          <w:sz w:val="24"/>
          <w:szCs w:val="24"/>
        </w:rPr>
        <w:t> does not consider providers of clinical services directly to patients to be commercial interests (e.g. liability/health insurance providers, group medical practices, hospitals, nursing homes, rehabilitation centers). </w:t>
      </w:r>
    </w:p>
    <w:p w14:paraId="501EC7B4" w14:textId="47E0324F" w:rsidR="002E4633" w:rsidRDefault="002E4633" w:rsidP="002B67A4">
      <w:pPr>
        <w:shd w:val="clear" w:color="auto" w:fill="FFFFFF"/>
        <w:spacing w:after="0" w:line="240" w:lineRule="auto"/>
        <w:rPr>
          <w:rFonts w:ascii="Calibri" w:eastAsia="Times New Roman" w:hAnsi="Calibri" w:cs="Calibri"/>
          <w:color w:val="333333"/>
          <w:sz w:val="24"/>
          <w:szCs w:val="24"/>
        </w:rPr>
      </w:pPr>
    </w:p>
    <w:p w14:paraId="7EF6EC71" w14:textId="619EE6DD" w:rsidR="002E4633" w:rsidRPr="002E4633" w:rsidRDefault="002E4633" w:rsidP="002B67A4">
      <w:pPr>
        <w:shd w:val="clear" w:color="auto" w:fill="FFFFFF"/>
        <w:spacing w:after="0" w:line="240" w:lineRule="auto"/>
        <w:rPr>
          <w:rFonts w:ascii="Calibri" w:eastAsia="Times New Roman" w:hAnsi="Calibri" w:cs="Calibri"/>
          <w:b/>
          <w:bCs/>
          <w:color w:val="333333"/>
          <w:sz w:val="24"/>
          <w:szCs w:val="24"/>
        </w:rPr>
      </w:pPr>
      <w:r>
        <w:rPr>
          <w:rFonts w:ascii="Calibri" w:eastAsia="Times New Roman" w:hAnsi="Calibri" w:cs="Calibri"/>
          <w:b/>
          <w:bCs/>
          <w:color w:val="333333"/>
          <w:sz w:val="24"/>
          <w:szCs w:val="24"/>
        </w:rPr>
        <w:t>What is a Financial Relationship?</w:t>
      </w:r>
    </w:p>
    <w:p w14:paraId="29F1448C" w14:textId="5CDAC535" w:rsidR="002B67A4" w:rsidRPr="00C54231" w:rsidRDefault="002B67A4" w:rsidP="002B67A4">
      <w:pPr>
        <w:shd w:val="clear" w:color="auto" w:fill="FFFFFF"/>
        <w:spacing w:before="100" w:beforeAutospacing="1" w:after="100" w:afterAutospacing="1"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Financial Relationships:   Those relationships in which the individual benefits by receiving a salary, royalty, intellectual property rights, consulting fee, honoraria, ownership interest (e.g.,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in the </w:t>
      </w:r>
      <w:r w:rsidRPr="00C54231">
        <w:rPr>
          <w:rFonts w:ascii="Calibri" w:eastAsia="Times New Roman" w:hAnsi="Calibri" w:cs="Calibri"/>
          <w:color w:val="333333"/>
          <w:sz w:val="24"/>
          <w:szCs w:val="24"/>
          <w:u w:val="single"/>
        </w:rPr>
        <w:t xml:space="preserve">last </w:t>
      </w:r>
      <w:r w:rsidR="008C315C" w:rsidRPr="00C54231">
        <w:rPr>
          <w:rFonts w:ascii="Calibri" w:eastAsia="Times New Roman" w:hAnsi="Calibri" w:cs="Calibri"/>
          <w:color w:val="333333"/>
          <w:sz w:val="24"/>
          <w:szCs w:val="24"/>
          <w:u w:val="single"/>
        </w:rPr>
        <w:t>24</w:t>
      </w:r>
      <w:r w:rsidRPr="00C54231">
        <w:rPr>
          <w:rFonts w:ascii="Calibri" w:eastAsia="Times New Roman" w:hAnsi="Calibri" w:cs="Calibri"/>
          <w:color w:val="333333"/>
          <w:sz w:val="24"/>
          <w:szCs w:val="24"/>
          <w:u w:val="single"/>
        </w:rPr>
        <w:t xml:space="preserve"> months</w:t>
      </w:r>
      <w:r w:rsidRPr="00C54231">
        <w:rPr>
          <w:rFonts w:ascii="Calibri" w:eastAsia="Times New Roman" w:hAnsi="Calibri" w:cs="Calibri"/>
          <w:color w:val="333333"/>
          <w:sz w:val="24"/>
          <w:szCs w:val="24"/>
        </w:rPr>
        <w:t xml:space="preserve">.  With respect to personal financial relationships, contracted research includes research funding where the institution receives the grant and manages the </w:t>
      </w:r>
      <w:r w:rsidR="008C315C" w:rsidRPr="00C54231">
        <w:rPr>
          <w:rFonts w:ascii="Calibri" w:eastAsia="Times New Roman" w:hAnsi="Calibri" w:cs="Calibri"/>
          <w:color w:val="333333"/>
          <w:sz w:val="24"/>
          <w:szCs w:val="24"/>
        </w:rPr>
        <w:t>funds,</w:t>
      </w:r>
      <w:r w:rsidRPr="00C54231">
        <w:rPr>
          <w:rFonts w:ascii="Calibri" w:eastAsia="Times New Roman" w:hAnsi="Calibri" w:cs="Calibri"/>
          <w:color w:val="333333"/>
          <w:sz w:val="24"/>
          <w:szCs w:val="24"/>
        </w:rPr>
        <w:t xml:space="preserve"> and the person is the </w:t>
      </w:r>
      <w:r w:rsidRPr="00C54231">
        <w:rPr>
          <w:rFonts w:ascii="Calibri" w:eastAsia="Times New Roman" w:hAnsi="Calibri" w:cs="Calibri"/>
          <w:color w:val="333333"/>
          <w:sz w:val="24"/>
          <w:szCs w:val="24"/>
          <w:u w:val="single"/>
        </w:rPr>
        <w:t>principal</w:t>
      </w:r>
      <w:r w:rsidRPr="00C54231">
        <w:rPr>
          <w:rFonts w:ascii="Calibri" w:eastAsia="Times New Roman" w:hAnsi="Calibri" w:cs="Calibri"/>
          <w:color w:val="333333"/>
          <w:sz w:val="24"/>
          <w:szCs w:val="24"/>
        </w:rPr>
        <w:t> or </w:t>
      </w:r>
      <w:r w:rsidRPr="00C54231">
        <w:rPr>
          <w:rFonts w:ascii="Calibri" w:eastAsia="Times New Roman" w:hAnsi="Calibri" w:cs="Calibri"/>
          <w:color w:val="333333"/>
          <w:sz w:val="24"/>
          <w:szCs w:val="24"/>
          <w:u w:val="single"/>
        </w:rPr>
        <w:t>named investigator</w:t>
      </w:r>
      <w:r w:rsidRPr="00C54231">
        <w:rPr>
          <w:rFonts w:ascii="Calibri" w:eastAsia="Times New Roman" w:hAnsi="Calibri" w:cs="Calibri"/>
          <w:color w:val="333333"/>
          <w:sz w:val="24"/>
          <w:szCs w:val="24"/>
        </w:rPr>
        <w:t> on the grant.</w:t>
      </w:r>
    </w:p>
    <w:p w14:paraId="06EB9D6C" w14:textId="2765BA5A" w:rsidR="00C54231" w:rsidRDefault="002B67A4" w:rsidP="002E4633">
      <w:pPr>
        <w:shd w:val="clear" w:color="auto" w:fill="FFFFFF"/>
        <w:spacing w:after="0"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If the person involved in the CME activity is employed by a commercial interest, the </w:t>
      </w:r>
      <w:hyperlink r:id="rId9" w:history="1">
        <w:r w:rsidRPr="00C54231">
          <w:rPr>
            <w:rFonts w:ascii="Calibri" w:eastAsia="Times New Roman" w:hAnsi="Calibri" w:cs="Calibri"/>
            <w:color w:val="007C92"/>
            <w:sz w:val="24"/>
            <w:szCs w:val="24"/>
            <w:u w:val="single"/>
          </w:rPr>
          <w:t>ACCME</w:t>
        </w:r>
      </w:hyperlink>
      <w:r w:rsidRPr="00C54231">
        <w:rPr>
          <w:rFonts w:ascii="Calibri" w:eastAsia="Times New Roman" w:hAnsi="Calibri" w:cs="Calibri"/>
          <w:color w:val="333333"/>
          <w:sz w:val="24"/>
          <w:szCs w:val="24"/>
        </w:rPr>
        <w:t xml:space="preserve"> considers there to be a non-resolvable conflict of interest and thus these individuals may not participate in the planning or teaching of the CME activity. The only exception is if the course content is unrelated to products or services provided by the commercial entity. </w:t>
      </w:r>
      <w:r w:rsidR="00EB2CBC" w:rsidRPr="00C54231">
        <w:rPr>
          <w:rFonts w:ascii="Calibri" w:eastAsia="Times New Roman" w:hAnsi="Calibri" w:cs="Calibri"/>
          <w:color w:val="333333"/>
          <w:sz w:val="24"/>
          <w:szCs w:val="24"/>
        </w:rPr>
        <w:t xml:space="preserve">See </w:t>
      </w:r>
      <w:hyperlink r:id="rId10" w:history="1">
        <w:r w:rsidR="00EB2CBC" w:rsidRPr="00C54231">
          <w:rPr>
            <w:rStyle w:val="Hyperlink"/>
            <w:rFonts w:ascii="Calibri" w:eastAsia="Times New Roman" w:hAnsi="Calibri" w:cs="Calibri"/>
            <w:sz w:val="24"/>
            <w:szCs w:val="24"/>
          </w:rPr>
          <w:t>ACCME Standards for Integrity and Independence in Accredited Continuing Education</w:t>
        </w:r>
      </w:hyperlink>
      <w:r w:rsidR="00EB2CBC" w:rsidRPr="00C54231">
        <w:rPr>
          <w:rFonts w:ascii="Calibri" w:eastAsia="Times New Roman" w:hAnsi="Calibri" w:cs="Calibri"/>
          <w:color w:val="333333"/>
          <w:sz w:val="24"/>
          <w:szCs w:val="24"/>
        </w:rPr>
        <w:t xml:space="preserve"> for clarification.  </w:t>
      </w:r>
    </w:p>
    <w:p w14:paraId="04AAC420" w14:textId="60B8B03B" w:rsidR="002E4633" w:rsidRDefault="002E4633" w:rsidP="002E4633">
      <w:pPr>
        <w:shd w:val="clear" w:color="auto" w:fill="FFFFFF"/>
        <w:spacing w:after="0" w:line="240" w:lineRule="auto"/>
        <w:rPr>
          <w:rFonts w:ascii="Calibri" w:eastAsia="Times New Roman" w:hAnsi="Calibri" w:cs="Calibri"/>
          <w:color w:val="333333"/>
          <w:sz w:val="24"/>
          <w:szCs w:val="24"/>
        </w:rPr>
      </w:pPr>
    </w:p>
    <w:p w14:paraId="284DA0AD" w14:textId="4519CD23" w:rsidR="002E4633" w:rsidRDefault="002E4633" w:rsidP="002E4633">
      <w:pPr>
        <w:shd w:val="clear" w:color="auto" w:fill="FFFFFF"/>
        <w:spacing w:after="0" w:line="240" w:lineRule="auto"/>
        <w:rPr>
          <w:rFonts w:ascii="Calibri" w:eastAsia="Times New Roman" w:hAnsi="Calibri" w:cs="Calibri"/>
          <w:color w:val="333333"/>
          <w:sz w:val="24"/>
          <w:szCs w:val="24"/>
        </w:rPr>
      </w:pPr>
    </w:p>
    <w:p w14:paraId="09DF8BB7" w14:textId="5FFF9058" w:rsidR="002E4633" w:rsidRDefault="002E4633" w:rsidP="002E4633">
      <w:pPr>
        <w:shd w:val="clear" w:color="auto" w:fill="FFFFFF"/>
        <w:spacing w:after="0" w:line="240" w:lineRule="auto"/>
        <w:rPr>
          <w:rFonts w:ascii="Calibri" w:eastAsia="Times New Roman" w:hAnsi="Calibri" w:cs="Calibri"/>
          <w:color w:val="333333"/>
          <w:sz w:val="24"/>
          <w:szCs w:val="24"/>
        </w:rPr>
      </w:pPr>
    </w:p>
    <w:p w14:paraId="6A5167E4" w14:textId="77777777" w:rsidR="002E4633" w:rsidRDefault="002E4633" w:rsidP="002E4633">
      <w:pPr>
        <w:shd w:val="clear" w:color="auto" w:fill="FFFFFF"/>
        <w:spacing w:after="0" w:line="240" w:lineRule="auto"/>
        <w:rPr>
          <w:rFonts w:ascii="Calibri" w:eastAsia="Times New Roman" w:hAnsi="Calibri" w:cs="Calibri"/>
          <w:color w:val="333333"/>
          <w:sz w:val="24"/>
          <w:szCs w:val="24"/>
        </w:rPr>
      </w:pPr>
    </w:p>
    <w:p w14:paraId="428C9D20" w14:textId="6728A6D8" w:rsidR="00C54231" w:rsidRDefault="002E4633" w:rsidP="002E4633">
      <w:pPr>
        <w:shd w:val="clear" w:color="auto" w:fill="FFFFFF"/>
        <w:spacing w:after="0" w:line="240" w:lineRule="auto"/>
        <w:rPr>
          <w:rFonts w:ascii="Calibri" w:eastAsia="Times New Roman" w:hAnsi="Calibri" w:cs="Calibri"/>
          <w:b/>
          <w:bCs/>
          <w:color w:val="333333"/>
          <w:sz w:val="24"/>
          <w:szCs w:val="24"/>
        </w:rPr>
      </w:pPr>
      <w:r>
        <w:rPr>
          <w:rFonts w:ascii="Calibri" w:eastAsia="Times New Roman" w:hAnsi="Calibri" w:cs="Calibri"/>
          <w:b/>
          <w:bCs/>
          <w:color w:val="333333"/>
          <w:sz w:val="24"/>
          <w:szCs w:val="24"/>
        </w:rPr>
        <w:lastRenderedPageBreak/>
        <w:t>What if I want to seek Commercial Support?</w:t>
      </w:r>
    </w:p>
    <w:p w14:paraId="1D959AC4" w14:textId="77777777" w:rsidR="002E4633" w:rsidRPr="00C54231" w:rsidRDefault="002E4633" w:rsidP="002E4633">
      <w:pPr>
        <w:shd w:val="clear" w:color="auto" w:fill="FFFFFF"/>
        <w:spacing w:after="0" w:line="240" w:lineRule="auto"/>
        <w:rPr>
          <w:rFonts w:ascii="Calibri" w:eastAsia="Times New Roman" w:hAnsi="Calibri" w:cs="Calibri"/>
          <w:b/>
          <w:bCs/>
          <w:color w:val="333333"/>
          <w:sz w:val="24"/>
          <w:szCs w:val="24"/>
        </w:rPr>
      </w:pPr>
    </w:p>
    <w:p w14:paraId="6D1991AD" w14:textId="77777777" w:rsidR="002B67A4" w:rsidRPr="00C54231" w:rsidRDefault="002B67A4" w:rsidP="002B67A4">
      <w:pPr>
        <w:shd w:val="clear" w:color="auto" w:fill="FFFFFF"/>
        <w:spacing w:before="100" w:beforeAutospacing="1" w:after="100" w:afterAutospacing="1"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Designated financial commercial support for courses and internet activity (enduring material) is allowed if the following conditions have been met:</w:t>
      </w:r>
    </w:p>
    <w:p w14:paraId="08F67B2F" w14:textId="77777777" w:rsidR="002B67A4" w:rsidRPr="00C54231" w:rsidRDefault="002B67A4" w:rsidP="002B67A4">
      <w:pPr>
        <w:numPr>
          <w:ilvl w:val="0"/>
          <w:numId w:val="2"/>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Activity planning is independent of commercial control;</w:t>
      </w:r>
    </w:p>
    <w:p w14:paraId="72E06BC0" w14:textId="1795C5A5" w:rsidR="002B67A4" w:rsidRPr="00C54231" w:rsidRDefault="002B67A4" w:rsidP="002B67A4">
      <w:pPr>
        <w:numPr>
          <w:ilvl w:val="0"/>
          <w:numId w:val="2"/>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 xml:space="preserve">Review by the </w:t>
      </w:r>
      <w:r w:rsidR="00EB2CBC" w:rsidRPr="00C54231">
        <w:rPr>
          <w:rFonts w:ascii="Calibri" w:eastAsia="Times New Roman" w:hAnsi="Calibri" w:cs="Calibri"/>
          <w:color w:val="333333"/>
          <w:sz w:val="24"/>
          <w:szCs w:val="24"/>
        </w:rPr>
        <w:t>UMass Chan Office</w:t>
      </w:r>
      <w:r w:rsidRPr="00C54231">
        <w:rPr>
          <w:rFonts w:ascii="Calibri" w:eastAsia="Times New Roman" w:hAnsi="Calibri" w:cs="Calibri"/>
          <w:color w:val="333333"/>
          <w:sz w:val="24"/>
          <w:szCs w:val="24"/>
        </w:rPr>
        <w:t xml:space="preserve"> Continuing Medical Education (</w:t>
      </w:r>
      <w:r w:rsidR="00EB2CBC" w:rsidRPr="00C54231">
        <w:rPr>
          <w:rFonts w:ascii="Calibri" w:eastAsia="Times New Roman" w:hAnsi="Calibri" w:cs="Calibri"/>
          <w:color w:val="333333"/>
          <w:sz w:val="24"/>
          <w:szCs w:val="24"/>
        </w:rPr>
        <w:t>O</w:t>
      </w:r>
      <w:r w:rsidRPr="00C54231">
        <w:rPr>
          <w:rFonts w:ascii="Calibri" w:eastAsia="Times New Roman" w:hAnsi="Calibri" w:cs="Calibri"/>
          <w:color w:val="333333"/>
          <w:sz w:val="24"/>
          <w:szCs w:val="24"/>
        </w:rPr>
        <w:t>CME) finds the activity to be free of commercial bias;</w:t>
      </w:r>
    </w:p>
    <w:p w14:paraId="26928F00" w14:textId="17E660CE" w:rsidR="002B67A4" w:rsidRPr="00C54231" w:rsidRDefault="002B67A4" w:rsidP="002B67A4">
      <w:pPr>
        <w:numPr>
          <w:ilvl w:val="0"/>
          <w:numId w:val="2"/>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 xml:space="preserve">Industry support is sought in collaboration with and under the auspices of the </w:t>
      </w:r>
      <w:r w:rsidR="00EB2CBC" w:rsidRPr="00C54231">
        <w:rPr>
          <w:rFonts w:ascii="Calibri" w:eastAsia="Times New Roman" w:hAnsi="Calibri" w:cs="Calibri"/>
          <w:color w:val="333333"/>
          <w:sz w:val="24"/>
          <w:szCs w:val="24"/>
        </w:rPr>
        <w:t>O</w:t>
      </w:r>
      <w:r w:rsidRPr="00C54231">
        <w:rPr>
          <w:rFonts w:ascii="Calibri" w:eastAsia="Times New Roman" w:hAnsi="Calibri" w:cs="Calibri"/>
          <w:color w:val="333333"/>
          <w:sz w:val="24"/>
          <w:szCs w:val="24"/>
        </w:rPr>
        <w:t>CME</w:t>
      </w:r>
    </w:p>
    <w:p w14:paraId="5F84BC5A" w14:textId="18B117E4" w:rsidR="002B67A4" w:rsidRPr="00C54231" w:rsidRDefault="002B67A4" w:rsidP="002B67A4">
      <w:pPr>
        <w:shd w:val="clear" w:color="auto" w:fill="FFFFFF"/>
        <w:spacing w:after="0"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 xml:space="preserve">To seek in-kind commercial support, you will work with your assigned </w:t>
      </w:r>
      <w:r w:rsidR="00EB2CBC" w:rsidRPr="00C54231">
        <w:rPr>
          <w:rFonts w:ascii="Calibri" w:eastAsia="Times New Roman" w:hAnsi="Calibri" w:cs="Calibri"/>
          <w:color w:val="333333"/>
          <w:sz w:val="24"/>
          <w:szCs w:val="24"/>
        </w:rPr>
        <w:t>O</w:t>
      </w:r>
      <w:r w:rsidRPr="00C54231">
        <w:rPr>
          <w:rFonts w:ascii="Calibri" w:eastAsia="Times New Roman" w:hAnsi="Calibri" w:cs="Calibri"/>
          <w:color w:val="333333"/>
          <w:sz w:val="24"/>
          <w:szCs w:val="24"/>
        </w:rPr>
        <w:t>CME team member. </w:t>
      </w:r>
    </w:p>
    <w:p w14:paraId="5CEE509B" w14:textId="3D972ECA" w:rsidR="00E9251A" w:rsidRPr="00C54231" w:rsidRDefault="00E9251A" w:rsidP="002B67A4">
      <w:pPr>
        <w:shd w:val="clear" w:color="auto" w:fill="FFFFFF"/>
        <w:spacing w:after="0" w:line="240" w:lineRule="auto"/>
        <w:rPr>
          <w:rFonts w:ascii="Calibri" w:eastAsia="Times New Roman" w:hAnsi="Calibri" w:cs="Calibri"/>
          <w:color w:val="333333"/>
          <w:sz w:val="24"/>
          <w:szCs w:val="24"/>
        </w:rPr>
      </w:pPr>
    </w:p>
    <w:p w14:paraId="1F24A197" w14:textId="77777777" w:rsidR="00C54231" w:rsidRPr="00C54231" w:rsidRDefault="00C54231" w:rsidP="00C54231">
      <w:pPr>
        <w:spacing w:after="0" w:line="240" w:lineRule="auto"/>
        <w:rPr>
          <w:rFonts w:ascii="Calibri" w:eastAsia="Times New Roman" w:hAnsi="Calibri" w:cs="Calibri"/>
          <w:sz w:val="24"/>
          <w:szCs w:val="24"/>
        </w:rPr>
      </w:pPr>
      <w:bookmarkStart w:id="8" w:name="WhatisCME"/>
      <w:bookmarkStart w:id="9" w:name="DukeSOM"/>
      <w:bookmarkStart w:id="10" w:name="DukeCertifiedActivity"/>
      <w:bookmarkStart w:id="11" w:name="CMEDisclosure"/>
      <w:bookmarkEnd w:id="8"/>
      <w:bookmarkEnd w:id="9"/>
      <w:bookmarkEnd w:id="10"/>
      <w:bookmarkEnd w:id="11"/>
      <w:r w:rsidRPr="00C54231">
        <w:rPr>
          <w:rFonts w:ascii="Calibri" w:eastAsia="Times New Roman" w:hAnsi="Calibri" w:cs="Calibri"/>
          <w:b/>
          <w:bCs/>
          <w:color w:val="000000"/>
          <w:sz w:val="24"/>
          <w:szCs w:val="24"/>
        </w:rPr>
        <w:t>Why do CME faculty (speakers, presenters, moderators, activity medical directors, authors, planning committee member, etc) have to complete a CME disclosure form?</w:t>
      </w:r>
    </w:p>
    <w:p w14:paraId="5B57E530" w14:textId="0F5F1312" w:rsidR="00C54231" w:rsidRDefault="00C54231" w:rsidP="00C54231">
      <w:pPr>
        <w:spacing w:after="0" w:line="240" w:lineRule="auto"/>
        <w:rPr>
          <w:rFonts w:ascii="Calibri" w:eastAsia="Times New Roman" w:hAnsi="Calibri" w:cs="Calibri"/>
          <w:color w:val="000000"/>
          <w:sz w:val="24"/>
          <w:szCs w:val="24"/>
        </w:rPr>
      </w:pPr>
      <w:r w:rsidRPr="00C54231">
        <w:rPr>
          <w:rFonts w:ascii="Calibri" w:eastAsia="Times New Roman" w:hAnsi="Calibri" w:cs="Calibri"/>
          <w:color w:val="000000"/>
          <w:sz w:val="24"/>
          <w:szCs w:val="24"/>
        </w:rPr>
        <w:t xml:space="preserve">The ACCME requires CME providers (i.e., UMass Chan Medical School Office of CME) to require everyone who is in a position to control the content of an educational activity to disclose all relevant financial relationships with any commercial interest(s) in order to prevent potential bias in the educational content. </w:t>
      </w:r>
    </w:p>
    <w:p w14:paraId="4D6B400D" w14:textId="26851A80" w:rsidR="002E4633" w:rsidRDefault="002E4633" w:rsidP="00C54231">
      <w:pPr>
        <w:spacing w:after="0" w:line="240" w:lineRule="auto"/>
        <w:rPr>
          <w:rFonts w:ascii="Calibri" w:eastAsia="Times New Roman" w:hAnsi="Calibri" w:cs="Calibri"/>
          <w:color w:val="000000"/>
          <w:sz w:val="24"/>
          <w:szCs w:val="24"/>
        </w:rPr>
      </w:pPr>
    </w:p>
    <w:p w14:paraId="5B5669EE" w14:textId="361E0162" w:rsidR="002E4633" w:rsidRPr="002E4633" w:rsidRDefault="002E4633" w:rsidP="00C54231">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Can commercial employees plan or instruct in CME activities?</w:t>
      </w:r>
    </w:p>
    <w:p w14:paraId="6A117924" w14:textId="77777777" w:rsidR="002E4633" w:rsidRDefault="002E4633" w:rsidP="00E9251A">
      <w:pPr>
        <w:shd w:val="clear" w:color="auto" w:fill="FFFFFF"/>
        <w:spacing w:after="0" w:line="240" w:lineRule="auto"/>
        <w:rPr>
          <w:rFonts w:ascii="Calibri" w:eastAsia="Times New Roman" w:hAnsi="Calibri" w:cs="Calibri"/>
          <w:color w:val="333333"/>
          <w:sz w:val="24"/>
          <w:szCs w:val="24"/>
        </w:rPr>
      </w:pPr>
    </w:p>
    <w:p w14:paraId="62149DA1" w14:textId="3827CDDD" w:rsidR="00E9251A" w:rsidRPr="00C54231" w:rsidRDefault="002B67A4" w:rsidP="00E9251A">
      <w:pPr>
        <w:shd w:val="clear" w:color="auto" w:fill="FFFFFF"/>
        <w:spacing w:after="0" w:line="240" w:lineRule="auto"/>
        <w:rPr>
          <w:rFonts w:ascii="Calibri" w:eastAsia="Times New Roman" w:hAnsi="Calibri" w:cs="Calibri"/>
          <w:color w:val="333333"/>
          <w:sz w:val="24"/>
          <w:szCs w:val="24"/>
        </w:rPr>
      </w:pPr>
      <w:r w:rsidRPr="00C54231">
        <w:rPr>
          <w:rFonts w:ascii="Calibri" w:eastAsia="Times New Roman" w:hAnsi="Calibri" w:cs="Calibri"/>
          <w:color w:val="333333"/>
          <w:sz w:val="24"/>
          <w:szCs w:val="24"/>
        </w:rPr>
        <w:t xml:space="preserve">Commercial employees may </w:t>
      </w:r>
      <w:r w:rsidRPr="00C54231">
        <w:rPr>
          <w:rFonts w:ascii="Calibri" w:eastAsia="Times New Roman" w:hAnsi="Calibri" w:cs="Calibri"/>
          <w:b/>
          <w:bCs/>
          <w:color w:val="333333"/>
          <w:sz w:val="24"/>
          <w:szCs w:val="24"/>
          <w:u w:val="single"/>
        </w:rPr>
        <w:t>not</w:t>
      </w:r>
      <w:r w:rsidRPr="00C54231">
        <w:rPr>
          <w:rFonts w:ascii="Calibri" w:eastAsia="Times New Roman" w:hAnsi="Calibri" w:cs="Calibri"/>
          <w:color w:val="333333"/>
          <w:sz w:val="24"/>
          <w:szCs w:val="24"/>
        </w:rPr>
        <w:t xml:space="preserve"> participate in the planning of CME activities. Commercial employees may serve as an instructor in </w:t>
      </w:r>
      <w:r w:rsidR="00EB2CBC" w:rsidRPr="00C54231">
        <w:rPr>
          <w:rFonts w:ascii="Calibri" w:eastAsia="Times New Roman" w:hAnsi="Calibri" w:cs="Calibri"/>
          <w:color w:val="333333"/>
          <w:sz w:val="24"/>
          <w:szCs w:val="24"/>
        </w:rPr>
        <w:t>UMass Chan</w:t>
      </w:r>
      <w:r w:rsidRPr="00C54231">
        <w:rPr>
          <w:rFonts w:ascii="Calibri" w:eastAsia="Times New Roman" w:hAnsi="Calibri" w:cs="Calibri"/>
          <w:color w:val="333333"/>
          <w:sz w:val="24"/>
          <w:szCs w:val="24"/>
        </w:rPr>
        <w:t xml:space="preserve"> CME activities only under narrowly defined circumstances. An employee of a commercial entity may present on: the scientific or discovery process itself, the results of basic (biologic, chemical, physical) research studies relevant to the clinical problem being addressed but not those specific to a commercial product or its preclinical and clinical testing, and CME topics other than those related to the products and business lines of his/her employer. Commercial employees may neither teach about their products nor offer recommendations regarding patient care.</w:t>
      </w:r>
      <w:r w:rsidR="00E9251A" w:rsidRPr="00C54231">
        <w:rPr>
          <w:rFonts w:ascii="Calibri" w:eastAsia="Times New Roman" w:hAnsi="Calibri" w:cs="Calibri"/>
          <w:color w:val="333333"/>
          <w:sz w:val="24"/>
          <w:szCs w:val="24"/>
        </w:rPr>
        <w:t xml:space="preserve"> </w:t>
      </w:r>
    </w:p>
    <w:p w14:paraId="536BABCA" w14:textId="77777777" w:rsidR="00E9251A" w:rsidRPr="00C54231" w:rsidRDefault="00E9251A" w:rsidP="00E9251A">
      <w:pPr>
        <w:shd w:val="clear" w:color="auto" w:fill="FFFFFF"/>
        <w:spacing w:after="0" w:line="240" w:lineRule="auto"/>
        <w:rPr>
          <w:rFonts w:ascii="Calibri" w:eastAsia="Times New Roman" w:hAnsi="Calibri" w:cs="Calibri"/>
          <w:color w:val="333333"/>
          <w:sz w:val="24"/>
          <w:szCs w:val="24"/>
        </w:rPr>
      </w:pPr>
    </w:p>
    <w:p w14:paraId="50BECA65" w14:textId="12B9606D" w:rsidR="00E9251A" w:rsidRPr="00C54231" w:rsidRDefault="00EA3110" w:rsidP="00E9251A">
      <w:pPr>
        <w:shd w:val="clear" w:color="auto" w:fill="FFFFFF"/>
        <w:spacing w:after="0" w:line="240" w:lineRule="auto"/>
        <w:rPr>
          <w:rFonts w:ascii="Calibri" w:hAnsi="Calibri" w:cs="Calibri"/>
          <w:sz w:val="24"/>
          <w:szCs w:val="24"/>
        </w:rPr>
      </w:pPr>
      <w:r w:rsidRPr="00C54231">
        <w:rPr>
          <w:rFonts w:ascii="Calibri" w:hAnsi="Calibri" w:cs="Calibri"/>
          <w:sz w:val="24"/>
          <w:szCs w:val="24"/>
        </w:rPr>
        <w:t xml:space="preserve">The owners and employees of ineligible companies are considered to have unresolvable financial relationships and must be excluded from participating as planners or </w:t>
      </w:r>
      <w:r w:rsidR="00E9251A" w:rsidRPr="00C54231">
        <w:rPr>
          <w:rFonts w:ascii="Calibri" w:hAnsi="Calibri" w:cs="Calibri"/>
          <w:sz w:val="24"/>
          <w:szCs w:val="24"/>
        </w:rPr>
        <w:t>faculty and</w:t>
      </w:r>
      <w:r w:rsidRPr="00C54231">
        <w:rPr>
          <w:rFonts w:ascii="Calibri" w:hAnsi="Calibri" w:cs="Calibri"/>
          <w:sz w:val="24"/>
          <w:szCs w:val="24"/>
        </w:rPr>
        <w:t xml:space="preserve"> must not be allowed to influence or control any aspect of the planning, delivery, or evaluation of accredited continuing education, except in the limited circumstances outlined in Standard 3.2. Owners and employees are individuals who have a legal duty to act in the company's best interests. Owners are defined as individuals who have an ownership interest in a company, except for stockholders of publicly traded companies, or holders of shares through a pension or mutual fund. Employees are defined as individuals hired to work for another person or business (the employer) for compensation and who are subject to the employer's direction as to the details of how to perform the job. </w:t>
      </w:r>
    </w:p>
    <w:p w14:paraId="25507B60" w14:textId="77777777" w:rsidR="00E9251A" w:rsidRPr="00C54231" w:rsidRDefault="00E9251A" w:rsidP="00E9251A">
      <w:pPr>
        <w:shd w:val="clear" w:color="auto" w:fill="FFFFFF"/>
        <w:spacing w:after="0" w:line="240" w:lineRule="auto"/>
        <w:rPr>
          <w:rFonts w:ascii="Calibri" w:hAnsi="Calibri" w:cs="Calibri"/>
          <w:sz w:val="24"/>
          <w:szCs w:val="24"/>
        </w:rPr>
      </w:pPr>
    </w:p>
    <w:p w14:paraId="42F7CBCF" w14:textId="45C428D0" w:rsidR="00EA3110" w:rsidRDefault="00EA3110">
      <w:pPr>
        <w:rPr>
          <w:rFonts w:ascii="Calibri" w:hAnsi="Calibri" w:cs="Calibri"/>
          <w:sz w:val="24"/>
          <w:szCs w:val="24"/>
        </w:rPr>
      </w:pPr>
      <w:r w:rsidRPr="00C54231">
        <w:rPr>
          <w:rFonts w:ascii="Calibri" w:hAnsi="Calibri" w:cs="Calibri"/>
          <w:sz w:val="24"/>
          <w:szCs w:val="24"/>
        </w:rPr>
        <w:t xml:space="preserve">Ineligible companies are prohibited from engaging in joint providership with accredited providers. Joint providership enables accredited providers to work with nonaccredited eligible </w:t>
      </w:r>
      <w:r w:rsidRPr="00C54231">
        <w:rPr>
          <w:rFonts w:ascii="Calibri" w:hAnsi="Calibri" w:cs="Calibri"/>
          <w:sz w:val="24"/>
          <w:szCs w:val="24"/>
        </w:rPr>
        <w:lastRenderedPageBreak/>
        <w:t>organizations to deliver accredited education. The ACCME determines eligibility for accreditation based on the characteristics of the organization seeking accreditation and, if applicable, any parent company. Subsidiaries of an ineligible parent company cannot be accredited regardless of steps taken to firewall the subsidiaries. If an eligible parent company has an ineligible subsidiary, the owners and employees of the ineligible subsidiary must be excluded from accredited continuing education except in the limited circumstances outlined in Standard 3.2.</w:t>
      </w:r>
      <w:r w:rsidR="00E9251A" w:rsidRPr="00C54231">
        <w:rPr>
          <w:rFonts w:ascii="Calibri" w:hAnsi="Calibri" w:cs="Calibri"/>
          <w:sz w:val="24"/>
          <w:szCs w:val="24"/>
        </w:rPr>
        <w:t xml:space="preserve"> Standards for Integrity and Independence in Accredited Continuing Education </w:t>
      </w:r>
    </w:p>
    <w:p w14:paraId="115E86A9" w14:textId="7260C5BA" w:rsidR="003017E0" w:rsidRDefault="003017E0">
      <w:pPr>
        <w:rPr>
          <w:rFonts w:ascii="Calibri" w:hAnsi="Calibri" w:cs="Calibri"/>
          <w:sz w:val="24"/>
          <w:szCs w:val="24"/>
        </w:rPr>
      </w:pPr>
    </w:p>
    <w:p w14:paraId="058E6397" w14:textId="77777777" w:rsidR="003017E0" w:rsidRPr="00C54231" w:rsidRDefault="003017E0">
      <w:pPr>
        <w:rPr>
          <w:rFonts w:ascii="Calibri" w:hAnsi="Calibri" w:cs="Calibri"/>
          <w:sz w:val="24"/>
          <w:szCs w:val="24"/>
        </w:rPr>
      </w:pPr>
    </w:p>
    <w:sectPr w:rsidR="003017E0" w:rsidRPr="00C5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2BEB"/>
    <w:multiLevelType w:val="hybridMultilevel"/>
    <w:tmpl w:val="149E2F32"/>
    <w:lvl w:ilvl="0" w:tplc="00808470">
      <w:start w:val="1"/>
      <w:numFmt w:val="bullet"/>
      <w:lvlText w:val="-"/>
      <w:lvlJc w:val="left"/>
      <w:pPr>
        <w:ind w:left="478" w:hanging="360"/>
      </w:pPr>
      <w:rPr>
        <w:rFonts w:ascii="Courier New" w:hAnsi="Courier New"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 w15:restartNumberingAfterBreak="0">
    <w:nsid w:val="311E0756"/>
    <w:multiLevelType w:val="hybridMultilevel"/>
    <w:tmpl w:val="1BC0E234"/>
    <w:lvl w:ilvl="0" w:tplc="00808470">
      <w:start w:val="1"/>
      <w:numFmt w:val="bullet"/>
      <w:lvlText w:val="-"/>
      <w:lvlJc w:val="left"/>
      <w:pPr>
        <w:ind w:left="478" w:hanging="360"/>
      </w:pPr>
      <w:rPr>
        <w:rFonts w:ascii="Courier New" w:hAnsi="Courier New"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2" w15:restartNumberingAfterBreak="0">
    <w:nsid w:val="33E05A5D"/>
    <w:multiLevelType w:val="multilevel"/>
    <w:tmpl w:val="FC20E0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2E72B2"/>
    <w:multiLevelType w:val="multilevel"/>
    <w:tmpl w:val="BD784F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067D8"/>
    <w:multiLevelType w:val="hybridMultilevel"/>
    <w:tmpl w:val="36EAF97A"/>
    <w:lvl w:ilvl="0" w:tplc="00808470">
      <w:start w:val="1"/>
      <w:numFmt w:val="bullet"/>
      <w:lvlText w:val="-"/>
      <w:lvlJc w:val="left"/>
      <w:pPr>
        <w:ind w:left="478" w:hanging="360"/>
      </w:pPr>
      <w:rPr>
        <w:rFonts w:ascii="Courier New" w:hAnsi="Courier New"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5" w15:restartNumberingAfterBreak="0">
    <w:nsid w:val="76C1112A"/>
    <w:multiLevelType w:val="hybridMultilevel"/>
    <w:tmpl w:val="7430B26C"/>
    <w:lvl w:ilvl="0" w:tplc="00808470">
      <w:start w:val="1"/>
      <w:numFmt w:val="bullet"/>
      <w:lvlText w:val="-"/>
      <w:lvlJc w:val="left"/>
      <w:pPr>
        <w:ind w:left="478" w:hanging="360"/>
      </w:pPr>
      <w:rPr>
        <w:rFonts w:ascii="Courier New" w:hAnsi="Courier New"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num w:numId="1" w16cid:durableId="367533593">
    <w:abstractNumId w:val="3"/>
  </w:num>
  <w:num w:numId="2" w16cid:durableId="903488709">
    <w:abstractNumId w:val="2"/>
  </w:num>
  <w:num w:numId="3" w16cid:durableId="1515995002">
    <w:abstractNumId w:val="4"/>
  </w:num>
  <w:num w:numId="4" w16cid:durableId="630937039">
    <w:abstractNumId w:val="0"/>
  </w:num>
  <w:num w:numId="5" w16cid:durableId="799224033">
    <w:abstractNumId w:val="5"/>
  </w:num>
  <w:num w:numId="6" w16cid:durableId="1507482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A4"/>
    <w:rsid w:val="002B67A4"/>
    <w:rsid w:val="002E4633"/>
    <w:rsid w:val="003017E0"/>
    <w:rsid w:val="004803A8"/>
    <w:rsid w:val="008C315C"/>
    <w:rsid w:val="00C54231"/>
    <w:rsid w:val="00E9251A"/>
    <w:rsid w:val="00EA3110"/>
    <w:rsid w:val="00EB2CBC"/>
    <w:rsid w:val="00EE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3F7A"/>
  <w15:chartTrackingRefBased/>
  <w15:docId w15:val="{08583DBC-8D03-41F4-880A-DE195F23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6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B2C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B6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7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67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67A4"/>
    <w:rPr>
      <w:color w:val="0000FF"/>
      <w:u w:val="single"/>
    </w:rPr>
  </w:style>
  <w:style w:type="character" w:styleId="UnresolvedMention">
    <w:name w:val="Unresolved Mention"/>
    <w:basedOn w:val="DefaultParagraphFont"/>
    <w:uiPriority w:val="99"/>
    <w:semiHidden/>
    <w:unhideWhenUsed/>
    <w:rsid w:val="008C315C"/>
    <w:rPr>
      <w:color w:val="605E5C"/>
      <w:shd w:val="clear" w:color="auto" w:fill="E1DFDD"/>
    </w:rPr>
  </w:style>
  <w:style w:type="character" w:customStyle="1" w:styleId="Heading2Char">
    <w:name w:val="Heading 2 Char"/>
    <w:basedOn w:val="DefaultParagraphFont"/>
    <w:link w:val="Heading2"/>
    <w:uiPriority w:val="9"/>
    <w:rsid w:val="00EB2C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86231">
      <w:bodyDiv w:val="1"/>
      <w:marLeft w:val="0"/>
      <w:marRight w:val="0"/>
      <w:marTop w:val="0"/>
      <w:marBottom w:val="0"/>
      <w:divBdr>
        <w:top w:val="none" w:sz="0" w:space="0" w:color="auto"/>
        <w:left w:val="none" w:sz="0" w:space="0" w:color="auto"/>
        <w:bottom w:val="none" w:sz="0" w:space="0" w:color="auto"/>
        <w:right w:val="none" w:sz="0" w:space="0" w:color="auto"/>
      </w:divBdr>
      <w:divsChild>
        <w:div w:id="1446733800">
          <w:marLeft w:val="0"/>
          <w:marRight w:val="0"/>
          <w:marTop w:val="0"/>
          <w:marBottom w:val="0"/>
          <w:divBdr>
            <w:top w:val="none" w:sz="0" w:space="0" w:color="auto"/>
            <w:left w:val="none" w:sz="0" w:space="0" w:color="auto"/>
            <w:bottom w:val="none" w:sz="0" w:space="0" w:color="auto"/>
            <w:right w:val="none" w:sz="0" w:space="0" w:color="auto"/>
          </w:divBdr>
        </w:div>
        <w:div w:id="1990474223">
          <w:marLeft w:val="0"/>
          <w:marRight w:val="0"/>
          <w:marTop w:val="0"/>
          <w:marBottom w:val="0"/>
          <w:divBdr>
            <w:top w:val="none" w:sz="0" w:space="0" w:color="auto"/>
            <w:left w:val="none" w:sz="0" w:space="0" w:color="auto"/>
            <w:bottom w:val="none" w:sz="0" w:space="0" w:color="auto"/>
            <w:right w:val="none" w:sz="0" w:space="0" w:color="auto"/>
          </w:divBdr>
          <w:divsChild>
            <w:div w:id="171073416">
              <w:marLeft w:val="0"/>
              <w:marRight w:val="0"/>
              <w:marTop w:val="0"/>
              <w:marBottom w:val="0"/>
              <w:divBdr>
                <w:top w:val="none" w:sz="0" w:space="0" w:color="auto"/>
                <w:left w:val="none" w:sz="0" w:space="0" w:color="auto"/>
                <w:bottom w:val="none" w:sz="0" w:space="0" w:color="auto"/>
                <w:right w:val="none" w:sz="0" w:space="0" w:color="auto"/>
              </w:divBdr>
            </w:div>
          </w:divsChild>
        </w:div>
        <w:div w:id="1891961759">
          <w:marLeft w:val="0"/>
          <w:marRight w:val="0"/>
          <w:marTop w:val="0"/>
          <w:marBottom w:val="0"/>
          <w:divBdr>
            <w:top w:val="none" w:sz="0" w:space="0" w:color="auto"/>
            <w:left w:val="none" w:sz="0" w:space="0" w:color="auto"/>
            <w:bottom w:val="none" w:sz="0" w:space="0" w:color="auto"/>
            <w:right w:val="none" w:sz="0" w:space="0" w:color="auto"/>
          </w:divBdr>
          <w:divsChild>
            <w:div w:id="243269635">
              <w:marLeft w:val="0"/>
              <w:marRight w:val="0"/>
              <w:marTop w:val="0"/>
              <w:marBottom w:val="0"/>
              <w:divBdr>
                <w:top w:val="none" w:sz="0" w:space="0" w:color="auto"/>
                <w:left w:val="none" w:sz="0" w:space="0" w:color="auto"/>
                <w:bottom w:val="none" w:sz="0" w:space="0" w:color="auto"/>
                <w:right w:val="none" w:sz="0" w:space="0" w:color="auto"/>
              </w:divBdr>
            </w:div>
          </w:divsChild>
        </w:div>
        <w:div w:id="1922712955">
          <w:marLeft w:val="0"/>
          <w:marRight w:val="0"/>
          <w:marTop w:val="0"/>
          <w:marBottom w:val="0"/>
          <w:divBdr>
            <w:top w:val="none" w:sz="0" w:space="0" w:color="auto"/>
            <w:left w:val="none" w:sz="0" w:space="0" w:color="auto"/>
            <w:bottom w:val="none" w:sz="0" w:space="0" w:color="auto"/>
            <w:right w:val="none" w:sz="0" w:space="0" w:color="auto"/>
          </w:divBdr>
          <w:divsChild>
            <w:div w:id="1499342080">
              <w:marLeft w:val="0"/>
              <w:marRight w:val="0"/>
              <w:marTop w:val="0"/>
              <w:marBottom w:val="0"/>
              <w:divBdr>
                <w:top w:val="none" w:sz="0" w:space="0" w:color="auto"/>
                <w:left w:val="none" w:sz="0" w:space="0" w:color="auto"/>
                <w:bottom w:val="none" w:sz="0" w:space="0" w:color="auto"/>
                <w:right w:val="none" w:sz="0" w:space="0" w:color="auto"/>
              </w:divBdr>
            </w:div>
          </w:divsChild>
        </w:div>
        <w:div w:id="1468008409">
          <w:marLeft w:val="0"/>
          <w:marRight w:val="0"/>
          <w:marTop w:val="0"/>
          <w:marBottom w:val="0"/>
          <w:divBdr>
            <w:top w:val="none" w:sz="0" w:space="0" w:color="auto"/>
            <w:left w:val="none" w:sz="0" w:space="0" w:color="auto"/>
            <w:bottom w:val="none" w:sz="0" w:space="0" w:color="auto"/>
            <w:right w:val="none" w:sz="0" w:space="0" w:color="auto"/>
          </w:divBdr>
          <w:divsChild>
            <w:div w:id="751585154">
              <w:marLeft w:val="0"/>
              <w:marRight w:val="0"/>
              <w:marTop w:val="0"/>
              <w:marBottom w:val="0"/>
              <w:divBdr>
                <w:top w:val="none" w:sz="0" w:space="0" w:color="auto"/>
                <w:left w:val="none" w:sz="0" w:space="0" w:color="auto"/>
                <w:bottom w:val="none" w:sz="0" w:space="0" w:color="auto"/>
                <w:right w:val="none" w:sz="0" w:space="0" w:color="auto"/>
              </w:divBdr>
            </w:div>
          </w:divsChild>
        </w:div>
        <w:div w:id="848640362">
          <w:marLeft w:val="0"/>
          <w:marRight w:val="0"/>
          <w:marTop w:val="0"/>
          <w:marBottom w:val="0"/>
          <w:divBdr>
            <w:top w:val="none" w:sz="0" w:space="0" w:color="auto"/>
            <w:left w:val="none" w:sz="0" w:space="0" w:color="auto"/>
            <w:bottom w:val="none" w:sz="0" w:space="0" w:color="auto"/>
            <w:right w:val="none" w:sz="0" w:space="0" w:color="auto"/>
          </w:divBdr>
          <w:divsChild>
            <w:div w:id="359817017">
              <w:marLeft w:val="0"/>
              <w:marRight w:val="0"/>
              <w:marTop w:val="0"/>
              <w:marBottom w:val="0"/>
              <w:divBdr>
                <w:top w:val="none" w:sz="0" w:space="0" w:color="auto"/>
                <w:left w:val="none" w:sz="0" w:space="0" w:color="auto"/>
                <w:bottom w:val="none" w:sz="0" w:space="0" w:color="auto"/>
                <w:right w:val="none" w:sz="0" w:space="0" w:color="auto"/>
              </w:divBdr>
            </w:div>
          </w:divsChild>
        </w:div>
        <w:div w:id="612637644">
          <w:marLeft w:val="0"/>
          <w:marRight w:val="0"/>
          <w:marTop w:val="0"/>
          <w:marBottom w:val="0"/>
          <w:divBdr>
            <w:top w:val="none" w:sz="0" w:space="0" w:color="auto"/>
            <w:left w:val="none" w:sz="0" w:space="0" w:color="auto"/>
            <w:bottom w:val="none" w:sz="0" w:space="0" w:color="auto"/>
            <w:right w:val="none" w:sz="0" w:space="0" w:color="auto"/>
          </w:divBdr>
          <w:divsChild>
            <w:div w:id="1196846535">
              <w:marLeft w:val="0"/>
              <w:marRight w:val="0"/>
              <w:marTop w:val="0"/>
              <w:marBottom w:val="0"/>
              <w:divBdr>
                <w:top w:val="none" w:sz="0" w:space="0" w:color="auto"/>
                <w:left w:val="none" w:sz="0" w:space="0" w:color="auto"/>
                <w:bottom w:val="none" w:sz="0" w:space="0" w:color="auto"/>
                <w:right w:val="none" w:sz="0" w:space="0" w:color="auto"/>
              </w:divBdr>
            </w:div>
          </w:divsChild>
        </w:div>
        <w:div w:id="2056198496">
          <w:marLeft w:val="0"/>
          <w:marRight w:val="0"/>
          <w:marTop w:val="0"/>
          <w:marBottom w:val="0"/>
          <w:divBdr>
            <w:top w:val="none" w:sz="0" w:space="0" w:color="auto"/>
            <w:left w:val="none" w:sz="0" w:space="0" w:color="auto"/>
            <w:bottom w:val="none" w:sz="0" w:space="0" w:color="auto"/>
            <w:right w:val="none" w:sz="0" w:space="0" w:color="auto"/>
          </w:divBdr>
          <w:divsChild>
            <w:div w:id="1758210134">
              <w:marLeft w:val="0"/>
              <w:marRight w:val="0"/>
              <w:marTop w:val="0"/>
              <w:marBottom w:val="0"/>
              <w:divBdr>
                <w:top w:val="none" w:sz="0" w:space="0" w:color="auto"/>
                <w:left w:val="none" w:sz="0" w:space="0" w:color="auto"/>
                <w:bottom w:val="none" w:sz="0" w:space="0" w:color="auto"/>
                <w:right w:val="none" w:sz="0" w:space="0" w:color="auto"/>
              </w:divBdr>
            </w:div>
          </w:divsChild>
        </w:div>
        <w:div w:id="306396456">
          <w:marLeft w:val="0"/>
          <w:marRight w:val="0"/>
          <w:marTop w:val="0"/>
          <w:marBottom w:val="0"/>
          <w:divBdr>
            <w:top w:val="none" w:sz="0" w:space="0" w:color="auto"/>
            <w:left w:val="none" w:sz="0" w:space="0" w:color="auto"/>
            <w:bottom w:val="none" w:sz="0" w:space="0" w:color="auto"/>
            <w:right w:val="none" w:sz="0" w:space="0" w:color="auto"/>
          </w:divBdr>
          <w:divsChild>
            <w:div w:id="3635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 TargetMode="External"/><Relationship Id="rId3" Type="http://schemas.openxmlformats.org/officeDocument/2006/relationships/settings" Target="settings.xml"/><Relationship Id="rId7" Type="http://schemas.openxmlformats.org/officeDocument/2006/relationships/hyperlink" Target="http://www.acc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education@umassmed.edu" TargetMode="External"/><Relationship Id="rId11" Type="http://schemas.openxmlformats.org/officeDocument/2006/relationships/fontTable" Target="fontTable.xml"/><Relationship Id="rId5" Type="http://schemas.openxmlformats.org/officeDocument/2006/relationships/hyperlink" Target="mailto:continuing.education@umassmed.edu" TargetMode="External"/><Relationship Id="rId10" Type="http://schemas.openxmlformats.org/officeDocument/2006/relationships/hyperlink" Target="https://accme.org/accreditation-rules/standards-for-integrity-independence-accredited-ce" TargetMode="External"/><Relationship Id="rId4" Type="http://schemas.openxmlformats.org/officeDocument/2006/relationships/webSettings" Target="webSettings.xml"/><Relationship Id="rId9" Type="http://schemas.openxmlformats.org/officeDocument/2006/relationships/hyperlink" Target="http://www.ac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1705</Words>
  <Characters>9111</Characters>
  <Application>Microsoft Office Word</Application>
  <DocSecurity>0</DocSecurity>
  <Lines>1301</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Lynn</dc:creator>
  <cp:keywords/>
  <dc:description/>
  <cp:lastModifiedBy>Hancock, Lynn</cp:lastModifiedBy>
  <cp:revision>7</cp:revision>
  <dcterms:created xsi:type="dcterms:W3CDTF">2022-04-27T18:44:00Z</dcterms:created>
  <dcterms:modified xsi:type="dcterms:W3CDTF">2023-03-16T14:29:00Z</dcterms:modified>
</cp:coreProperties>
</file>